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3292F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3292F" w:rsidRDefault="0005255F" w:rsidP="0010095E">
            <w:pPr>
              <w:pStyle w:val="EPName"/>
            </w:pPr>
            <w:r w:rsidRPr="0063292F">
              <w:t>Európsky parlament</w:t>
            </w:r>
          </w:p>
          <w:p w:rsidR="00751A4A" w:rsidRPr="0063292F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63292F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63292F" w:rsidRDefault="00187494" w:rsidP="0010095E">
            <w:pPr>
              <w:pStyle w:val="EPLogo"/>
            </w:pPr>
            <w:r w:rsidRPr="0063292F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63292F" w:rsidRDefault="00D058B8" w:rsidP="004C5D52">
      <w:pPr>
        <w:pStyle w:val="LineTop"/>
      </w:pPr>
    </w:p>
    <w:p w:rsidR="00680577" w:rsidRPr="0063292F" w:rsidRDefault="0005255F" w:rsidP="00680577">
      <w:pPr>
        <w:pStyle w:val="EPBodyTA1"/>
      </w:pPr>
      <w:r w:rsidRPr="0063292F">
        <w:t>PRIJATÉ TEXTY</w:t>
      </w:r>
    </w:p>
    <w:p w:rsidR="00D058B8" w:rsidRPr="0063292F" w:rsidRDefault="00D058B8" w:rsidP="00D058B8">
      <w:pPr>
        <w:pStyle w:val="LineBottom"/>
      </w:pPr>
    </w:p>
    <w:p w:rsidR="0005255F" w:rsidRPr="0063292F" w:rsidRDefault="0005255F" w:rsidP="0005255F">
      <w:pPr>
        <w:pStyle w:val="ATHeading1"/>
      </w:pPr>
      <w:bookmarkStart w:id="0" w:name="TANumber"/>
      <w:r w:rsidRPr="0063292F">
        <w:t>P9_TA</w:t>
      </w:r>
      <w:bookmarkStart w:id="1" w:name="_GoBack"/>
      <w:bookmarkEnd w:id="1"/>
      <w:r w:rsidRPr="0063292F">
        <w:t>(2020)0</w:t>
      </w:r>
      <w:r w:rsidR="002373D6" w:rsidRPr="0063292F">
        <w:t>323</w:t>
      </w:r>
      <w:bookmarkEnd w:id="0"/>
    </w:p>
    <w:p w:rsidR="0005255F" w:rsidRPr="0063292F" w:rsidRDefault="0005255F" w:rsidP="0005255F">
      <w:pPr>
        <w:pStyle w:val="ATHeading2"/>
      </w:pPr>
      <w:bookmarkStart w:id="2" w:name="title"/>
      <w:r w:rsidRPr="0063292F">
        <w:t>Zlepšovanie účinnosti rozvoja a efektívnosti pomoci</w:t>
      </w:r>
      <w:bookmarkEnd w:id="2"/>
      <w:r w:rsidRPr="0063292F">
        <w:t xml:space="preserve"> </w:t>
      </w:r>
      <w:bookmarkStart w:id="3" w:name="Etoiles"/>
      <w:bookmarkEnd w:id="3"/>
    </w:p>
    <w:p w:rsidR="0005255F" w:rsidRPr="0063292F" w:rsidRDefault="0005255F" w:rsidP="0005255F">
      <w:pPr>
        <w:rPr>
          <w:i/>
          <w:vanish/>
        </w:rPr>
      </w:pPr>
      <w:r w:rsidRPr="0063292F">
        <w:rPr>
          <w:i/>
        </w:rPr>
        <w:fldChar w:fldCharType="begin"/>
      </w:r>
      <w:r w:rsidRPr="0063292F">
        <w:rPr>
          <w:i/>
        </w:rPr>
        <w:instrText xml:space="preserve"> TC"(</w:instrText>
      </w:r>
      <w:bookmarkStart w:id="4" w:name="DocNumber"/>
      <w:r w:rsidRPr="0063292F">
        <w:rPr>
          <w:i/>
        </w:rPr>
        <w:instrText>A9-0212/2020</w:instrText>
      </w:r>
      <w:bookmarkEnd w:id="4"/>
      <w:r w:rsidRPr="0063292F">
        <w:rPr>
          <w:i/>
        </w:rPr>
        <w:instrText xml:space="preserve"> - Spravodajca: </w:instrText>
      </w:r>
      <w:proofErr w:type="spellStart"/>
      <w:r w:rsidRPr="0063292F">
        <w:rPr>
          <w:i/>
        </w:rPr>
        <w:instrText>Tomas</w:instrText>
      </w:r>
      <w:proofErr w:type="spellEnd"/>
      <w:r w:rsidRPr="0063292F">
        <w:rPr>
          <w:i/>
        </w:rPr>
        <w:instrText xml:space="preserve"> </w:instrText>
      </w:r>
      <w:proofErr w:type="spellStart"/>
      <w:r w:rsidRPr="0063292F">
        <w:rPr>
          <w:i/>
        </w:rPr>
        <w:instrText>Tobé</w:instrText>
      </w:r>
      <w:proofErr w:type="spellEnd"/>
      <w:r w:rsidRPr="0063292F">
        <w:rPr>
          <w:i/>
        </w:rPr>
        <w:instrText xml:space="preserve">)"\l3 \n&gt; \* MERGEFORMAT </w:instrText>
      </w:r>
      <w:r w:rsidRPr="0063292F">
        <w:rPr>
          <w:i/>
        </w:rPr>
        <w:fldChar w:fldCharType="end"/>
      </w:r>
    </w:p>
    <w:p w:rsidR="0005255F" w:rsidRPr="0063292F" w:rsidRDefault="0005255F" w:rsidP="0005255F">
      <w:pPr>
        <w:rPr>
          <w:vanish/>
        </w:rPr>
      </w:pPr>
      <w:bookmarkStart w:id="5" w:name="Commission"/>
      <w:r w:rsidRPr="0063292F">
        <w:rPr>
          <w:vanish/>
        </w:rPr>
        <w:t>Výbor pre rozvoj</w:t>
      </w:r>
      <w:bookmarkEnd w:id="5"/>
    </w:p>
    <w:p w:rsidR="0005255F" w:rsidRPr="0063292F" w:rsidRDefault="0005255F" w:rsidP="0005255F">
      <w:pPr>
        <w:rPr>
          <w:vanish/>
        </w:rPr>
      </w:pPr>
      <w:bookmarkStart w:id="6" w:name="PE"/>
      <w:r w:rsidRPr="0063292F">
        <w:rPr>
          <w:vanish/>
        </w:rPr>
        <w:t>PE648.376</w:t>
      </w:r>
      <w:bookmarkEnd w:id="6"/>
    </w:p>
    <w:p w:rsidR="0005255F" w:rsidRPr="0063292F" w:rsidRDefault="0005255F" w:rsidP="0005255F">
      <w:pPr>
        <w:pStyle w:val="ATHeading3"/>
      </w:pPr>
      <w:bookmarkStart w:id="7" w:name="Sujet"/>
      <w:r w:rsidRPr="0063292F">
        <w:t xml:space="preserve">Uznesenie Európskeho parlamentu z </w:t>
      </w:r>
      <w:r w:rsidR="002B7659" w:rsidRPr="0063292F">
        <w:t>25</w:t>
      </w:r>
      <w:r w:rsidRPr="0063292F">
        <w:t>. novembra 2020 o zlepšovaní účinnosti rozvoja a efektívnosti pomoci</w:t>
      </w:r>
      <w:bookmarkEnd w:id="7"/>
      <w:r w:rsidRPr="0063292F">
        <w:t xml:space="preserve"> </w:t>
      </w:r>
      <w:bookmarkStart w:id="8" w:name="References"/>
      <w:r w:rsidRPr="0063292F">
        <w:t>(2019/2184(INI))</w:t>
      </w:r>
      <w:bookmarkEnd w:id="8"/>
    </w:p>
    <w:p w:rsidR="00EF7A9D" w:rsidRPr="0063292F" w:rsidRDefault="00EF7A9D" w:rsidP="00EF7A9D">
      <w:pPr>
        <w:pStyle w:val="EPComma"/>
      </w:pPr>
      <w:bookmarkStart w:id="9" w:name="TextBodyBegin"/>
      <w:bookmarkEnd w:id="9"/>
      <w:r w:rsidRPr="0063292F">
        <w:rPr>
          <w:i/>
        </w:rPr>
        <w:t>Európsky parlament</w:t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samit OSN o trvalo udržateľnom rozvoji, ktorý sa konal 25.</w:t>
      </w:r>
      <w:r w:rsidR="002373D6" w:rsidRPr="0063292F">
        <w:t xml:space="preserve"> až 27. </w:t>
      </w:r>
      <w:r w:rsidRPr="0063292F">
        <w:t>septembra 2015, a na výsledný dokument, ktorý prijalo Valné zhromaždenie OSN 25. septembra 2015 pod názvom Transformujeme náš svet: Agenda 2030 pre udržateľný rozvoj, a najmä na cieľ 17 v rámci cieľov udržateľného rozvoja, ktorý je stanovený v tejto agende a ktorý členské štáty OSN zaväzuje k posilneniu prostriedkov na vykonávanie agendy a k obnoveniu globálneho partnerstva pre udržateľný rozvoj</w:t>
      </w:r>
      <w:r w:rsidRPr="0063292F">
        <w:rPr>
          <w:rStyle w:val="FootnoteReference"/>
        </w:rPr>
        <w:footnoteReference w:id="1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akčný program z Addis Abeby, výsledný dokument prijatý na tretej Medzinárodnej konferencii o financovaní rozvoja, ktorá sa konala v Addis Abebe, Etiópia, od 13. do 16. júla 2015, ktorý schválilo Valné zhromaždenie OSN vo svojej rezolúcii č. 69/313 z 27. júla 2015,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správu pracovnej skupiny OSN pre financovanie rozvoja z roku 2019 o financovaní udržateľného rozvoja</w:t>
      </w:r>
      <w:r w:rsidRPr="0063292F">
        <w:rPr>
          <w:rStyle w:val="FootnoteReference"/>
        </w:rPr>
        <w:footnoteReference w:id="2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 xml:space="preserve">so zreteľom na Parížsku dohodu z 21. konferencie zmluvných strán UNFCCC (COP 21) a 11. konferencie zmluvných strán, ktorá sa konala od 30. novembra do 11. decembra 2015 v Paríži (Francúzsko) a slúžila ako zasadnutie zmluvných strán </w:t>
      </w:r>
      <w:proofErr w:type="spellStart"/>
      <w:r w:rsidRPr="0063292F">
        <w:t>Kjótskeho</w:t>
      </w:r>
      <w:proofErr w:type="spellEnd"/>
      <w:r w:rsidRPr="0063292F">
        <w:t xml:space="preserve"> protokolu (CMP11),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 xml:space="preserve">so zreteľom na Parížsku deklaráciu o účinnosti pomoci prijatú na druhom fóre na vysokej úrovni o účinnosti pomoci v roku 2005, Akčný program z Akkry prijatý na treťom fóre na vysokej úrovni o účinnosti pomoci v roku 2008 v Akkre (Ghana) </w:t>
      </w:r>
      <w:r w:rsidRPr="0063292F">
        <w:lastRenderedPageBreak/>
        <w:t>a výsledky štvrtého fóra na vysokej úrovni o účinnosti pomoci, ktoré sa uskutočnilo v Pusane (Kórejská republika) v decembri 2011 a na ktorom bolo vytvorené Globálne partnerstvo pre účinnú rozvojovú spoluprácu (</w:t>
      </w:r>
      <w:r w:rsidR="00775200" w:rsidRPr="0063292F">
        <w:t>ďalej len „</w:t>
      </w:r>
      <w:r w:rsidRPr="0063292F">
        <w:t>GPEDC</w:t>
      </w:r>
      <w:r w:rsidR="00775200" w:rsidRPr="0063292F">
        <w:t>“</w:t>
      </w:r>
      <w:r w:rsidRPr="0063292F">
        <w:t>),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výsledný nairobský dokument z druhého stretnutia GPEDC na vysokej úrovni, ktoré sa konalo v Nairobi (Keňa) v novembri a decembri 2016</w:t>
      </w:r>
      <w:r w:rsidRPr="0063292F">
        <w:rPr>
          <w:rStyle w:val="FootnoteReference"/>
        </w:rPr>
        <w:footnoteReference w:id="3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stretnutie GPEDC na úrovni vysokých preds</w:t>
      </w:r>
      <w:r w:rsidR="007F67DE" w:rsidRPr="0063292F">
        <w:t>taviteľov, ktoré sa konalo 13. a</w:t>
      </w:r>
      <w:r w:rsidRPr="0063292F">
        <w:t xml:space="preserve"> 14. júla 2019 popri politickom fóre OSN na vysokej úrovni pre udržateľný rozvoj v New Yorku,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17. zasadnutie riadiaceho výboru pre stretnutie globálneho partnerstva na úrovni vysokých predstaviteľov v roku 2019, ktoré sa konalo 26. – 27. marca 2019 v Kampale (Uganda),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správu GPEDC za rok 2019 s názvom Zefektívňovanie rozvojovej spolupráce</w:t>
      </w:r>
      <w:r w:rsidRPr="0063292F">
        <w:rPr>
          <w:rStyle w:val="FootnoteReference"/>
        </w:rPr>
        <w:footnoteReference w:id="4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Dohovor OSN o právach dieťaťa (ďalej len „DPD“) z 20. novembra 1989,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článok 208 Zmluvy o fungovaní Európskej únie (</w:t>
      </w:r>
      <w:r w:rsidR="00775200" w:rsidRPr="0063292F">
        <w:t>ďalej len „</w:t>
      </w:r>
      <w:r w:rsidRPr="0063292F">
        <w:t>ZFEÚ</w:t>
      </w:r>
      <w:r w:rsidR="00775200" w:rsidRPr="0063292F">
        <w:t>“</w:t>
      </w:r>
      <w:r w:rsidRPr="0063292F">
        <w:t>), v ktorom je obmedzovanie a odstránenie chudoby vymedzené ako hlavný cieľ rozvojovej politiky EÚ a podľa ktorého musí Únia a jej členské štáty plniť záväzky, ktoré prijali v rámci OSN a iných príslušných organizácií, a zohľadňovať ciele rozvojovej spolupráce vo svojich uskutočňovaných politikách, ktoré by mohli mať vplyv na rozvojové krajiny,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nový Európsky konsenzus o rozvoji z 30. júna 2017</w:t>
      </w:r>
      <w:r w:rsidRPr="0063292F">
        <w:rPr>
          <w:rStyle w:val="FootnoteReference"/>
        </w:rPr>
        <w:footnoteReference w:id="5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spoločnú stratégiu Afriky a EÚ prijatú na druhom samite Afriky a EÚ uskutočnenom v Lisabone v decembri 2007,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piaty samit Africkej</w:t>
      </w:r>
      <w:r w:rsidR="00D55404" w:rsidRPr="0063292F">
        <w:t xml:space="preserve"> únie a EÚ, ktorý sa konal 29. a</w:t>
      </w:r>
      <w:r w:rsidRPr="0063292F">
        <w:t xml:space="preserve"> 30. novembra 2017, a na vyhlásenie zo samitu s názvom Investíciami do mládeže k zrýchlenému </w:t>
      </w:r>
      <w:proofErr w:type="spellStart"/>
      <w:r w:rsidRPr="0063292F">
        <w:t>inkluzívnemu</w:t>
      </w:r>
      <w:proofErr w:type="spellEnd"/>
      <w:r w:rsidRPr="0063292F">
        <w:t xml:space="preserve"> rastu a udržateľnému rozvoju</w:t>
      </w:r>
      <w:r w:rsidRPr="0063292F">
        <w:rPr>
          <w:rStyle w:val="FootnoteReference"/>
        </w:rPr>
        <w:footnoteReference w:id="6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Globálnu stratégiu pre zahraničnú a bezpečnostnú politiku EÚ, ktorú v júni 2016 predstavila podpredsedníčka Komisie/vysoká predstaviteľka Únie pre zahraničné veci a bezpečnostnú politiku, s názvom Spoločná vízia, spoločný postup: Silnejšia Európa,</w:t>
      </w:r>
    </w:p>
    <w:p w:rsidR="00EF7A9D" w:rsidRPr="0063292F" w:rsidRDefault="00EF7A9D" w:rsidP="00EF7A9D">
      <w:pPr>
        <w:pStyle w:val="NormalHanging12a"/>
      </w:pPr>
      <w:r w:rsidRPr="0063292F">
        <w:lastRenderedPageBreak/>
        <w:t>–</w:t>
      </w:r>
      <w:r w:rsidRPr="0063292F">
        <w:tab/>
        <w:t>so zreteľom na závery Rady z 12. mája 2016 o zintenzívnení spoločného plánovania,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závery Rady zo 16. mája 2019 o výročnej správe na rok 2019 pre Európsku radu o cieľoch rozvojovej pomoci EÚ</w:t>
      </w:r>
      <w:r w:rsidRPr="0063292F">
        <w:rPr>
          <w:rStyle w:val="FootnoteReference"/>
        </w:rPr>
        <w:footnoteReference w:id="7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správu skupiny odborníkov na vysokej úrovni z októbra 2019 s názvom Európa vo svete – budúcnosť európskej finančnej štruktúry pre rozvoj</w:t>
      </w:r>
      <w:r w:rsidRPr="0063292F">
        <w:rPr>
          <w:rStyle w:val="FootnoteReference"/>
        </w:rPr>
        <w:footnoteReference w:id="8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pracovný dokument útvarov Komisie z 26. marca 2015 nazvaný Vytvorenie rámca EÚ pre výsledky v oblasti medzinárodnej spolupráce a rozvoja (SWD(2015)0080) a na závery Rady z 26. mája 2015 o rámci pre výsledky,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strategický plán Komisie na roky 2016 – 2020 pre medzinárodnú spoluprácu a rozvoj,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oznámenie Komisie z 12. septembra 2018 o novej africko-európskej aliancii pre udržateľné investície a pracovné miesta (COM(2018)0643),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záverečnú správu pracovnej skupiny Komisie pre africký vidiek z marca 2019 s názvom Agenda Afriky a Európy pre transformáciu vidieka</w:t>
      </w:r>
      <w:r w:rsidRPr="0063292F">
        <w:rPr>
          <w:rStyle w:val="FootnoteReference"/>
          <w:rFonts w:eastAsiaTheme="minorHAnsi"/>
          <w:szCs w:val="24"/>
          <w:lang w:eastAsia="en-US"/>
        </w:rPr>
        <w:footnoteReference w:id="9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 xml:space="preserve">so zreteľom na štúdiu z júla 2019 o uplatňovaní zásad účinnosti s názvom </w:t>
      </w:r>
      <w:proofErr w:type="spellStart"/>
      <w:r w:rsidRPr="0063292F">
        <w:t>Effectiveness</w:t>
      </w:r>
      <w:proofErr w:type="spellEnd"/>
      <w:r w:rsidRPr="0063292F">
        <w:t xml:space="preserve"> to </w:t>
      </w:r>
      <w:proofErr w:type="spellStart"/>
      <w:r w:rsidRPr="0063292F">
        <w:t>Impact</w:t>
      </w:r>
      <w:proofErr w:type="spellEnd"/>
      <w:r w:rsidRPr="0063292F">
        <w:t xml:space="preserve"> (Zaistenie dosahu prostredníctvom účinnosti)</w:t>
      </w:r>
      <w:r w:rsidRPr="0063292F">
        <w:rPr>
          <w:rStyle w:val="FootnoteReference"/>
        </w:rPr>
        <w:footnoteReference w:id="10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 22. mája 2008 o následných opatreniach Parížskeho vyhlásenia z roku 2005 o účinnosti pomoci</w:t>
      </w:r>
      <w:r w:rsidRPr="0063292F">
        <w:rPr>
          <w:rStyle w:val="FootnoteReference"/>
        </w:rPr>
        <w:footnoteReference w:id="11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 5. júla 2011 o budúcnosti rozpočtovej podpory EÚ pre rozvojové krajiny</w:t>
      </w:r>
      <w:r w:rsidRPr="0063292F">
        <w:rPr>
          <w:rStyle w:val="FootnoteReference"/>
        </w:rPr>
        <w:footnoteReference w:id="12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 25. októbra 2011 o štvrtom fóre na vysokej úrovni o účinnosti pomoci</w:t>
      </w:r>
      <w:r w:rsidRPr="0063292F">
        <w:rPr>
          <w:rStyle w:val="FootnoteReference"/>
        </w:rPr>
        <w:footnoteReference w:id="13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 6. októbra 2015 o úlohe miestnych orgánov v rozvojových krajinách v rámci rozvojovej spolupráce</w:t>
      </w:r>
      <w:r w:rsidRPr="0063292F">
        <w:rPr>
          <w:rStyle w:val="FootnoteReference"/>
        </w:rPr>
        <w:footnoteReference w:id="14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lastRenderedPageBreak/>
        <w:t>–</w:t>
      </w:r>
      <w:r w:rsidRPr="0063292F">
        <w:tab/>
        <w:t>so zreteľom na svoje uznesenie z 19. mája 2015 o financovaní rozvoja</w:t>
      </w:r>
      <w:r w:rsidRPr="0063292F">
        <w:rPr>
          <w:rStyle w:val="FootnoteReference"/>
        </w:rPr>
        <w:footnoteReference w:id="15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 14. apríla 2016 o súkromnom sektore a rozvoji</w:t>
      </w:r>
      <w:r w:rsidRPr="0063292F">
        <w:rPr>
          <w:rStyle w:val="FootnoteReference"/>
        </w:rPr>
        <w:footnoteReference w:id="16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 7. júna 2016 o správe EÚ o súdržnosti politík v záujme rozvoja za rok 2015</w:t>
      </w:r>
      <w:r w:rsidRPr="0063292F">
        <w:rPr>
          <w:rStyle w:val="FootnoteReference"/>
        </w:rPr>
        <w:footnoteReference w:id="17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 13. septembra 2016 o trustovom fonde EÚ pre Afriku: dôsledky pre rozvoj a humanitárnu pomoc</w:t>
      </w:r>
      <w:r w:rsidRPr="0063292F">
        <w:rPr>
          <w:rStyle w:val="FootnoteReference"/>
        </w:rPr>
        <w:footnoteReference w:id="18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 22. novembra 2016 o zvyšovaní účinnosti rozvojovej spolupráce</w:t>
      </w:r>
      <w:r w:rsidRPr="0063292F">
        <w:rPr>
          <w:rStyle w:val="FootnoteReference"/>
        </w:rPr>
        <w:footnoteReference w:id="19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 14. februára 2017 o revízii Európskeho konsenzu o rozvoji</w:t>
      </w:r>
      <w:r w:rsidRPr="0063292F">
        <w:rPr>
          <w:rStyle w:val="FootnoteReference"/>
        </w:rPr>
        <w:footnoteReference w:id="20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 16. novembra 2017 o stratégii EÚ a Afriky: podpora rozvoja</w:t>
      </w:r>
      <w:r w:rsidRPr="0063292F">
        <w:rPr>
          <w:rStyle w:val="FootnoteReference"/>
        </w:rPr>
        <w:footnoteReference w:id="21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 17. apríla 2018 o vykonávaní nástroja rozvojovej spolupráce, nástroja humanitárnej pomoci a Európskeho rozvojového fondu</w:t>
      </w:r>
      <w:r w:rsidRPr="0063292F">
        <w:rPr>
          <w:rStyle w:val="FootnoteReference"/>
        </w:rPr>
        <w:footnoteReference w:id="22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 14. júna 2018 o nadchádzajúcich rokovaniach o novej dohode o partnerstve medzi Európskou úniou a africkými, karibskými a tichomorskými štátmi</w:t>
      </w:r>
      <w:r w:rsidRPr="0063292F">
        <w:rPr>
          <w:rStyle w:val="FootnoteReference"/>
        </w:rPr>
        <w:footnoteReference w:id="23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zo 14. marca 2019 o výročnej strategickej správe o implementácii a plnení cieľov trvalo udržateľného rozvoja</w:t>
      </w:r>
      <w:r w:rsidRPr="0063292F">
        <w:rPr>
          <w:rStyle w:val="FootnoteReference"/>
        </w:rPr>
        <w:footnoteReference w:id="24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legislatívne uznesenie z 27. marca 2019 o návrhu nariadenia Európskeho parlamentu a Rady, ktorým sa zriaďuje Nástroj susedstva a rozvojovej a medzinárodnej spolupráce</w:t>
      </w:r>
      <w:r w:rsidRPr="0063292F">
        <w:rPr>
          <w:rStyle w:val="FootnoteReference"/>
        </w:rPr>
        <w:footnoteReference w:id="25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</w:t>
      </w:r>
      <w:r w:rsidR="007A4839" w:rsidRPr="0063292F">
        <w:t>o zreteľom na svoje uznesenie z</w:t>
      </w:r>
      <w:r w:rsidRPr="0063292F">
        <w:t xml:space="preserve"> 28. novembra 2019 o prebiehajúcich rokovaniach o novej dohode o partnerstve medzi Európskou úniou a africkými, karibskými a tichomorskými štátmi</w:t>
      </w:r>
      <w:r w:rsidRPr="0063292F">
        <w:rPr>
          <w:rStyle w:val="FootnoteReference"/>
        </w:rPr>
        <w:footnoteReference w:id="26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 xml:space="preserve">so zreteľom na svoje uznesenie z 28. novembra 2019 o konferencii OSN o zmene klímy </w:t>
      </w:r>
      <w:r w:rsidRPr="0063292F">
        <w:lastRenderedPageBreak/>
        <w:t>2019 španielskom Madride (COP 25)</w:t>
      </w:r>
      <w:r w:rsidRPr="0063292F">
        <w:rPr>
          <w:rStyle w:val="FootnoteReference"/>
        </w:rPr>
        <w:footnoteReference w:id="27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svoje uznesenie z 15. januára 2020 o európskom ekologickom dohovore</w:t>
      </w:r>
      <w:r w:rsidRPr="0063292F">
        <w:rPr>
          <w:rStyle w:val="FootnoteReference"/>
        </w:rPr>
        <w:footnoteReference w:id="28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závery Rady z 26. októbra 2015 o akčnom pláne pre rodovú rovnosť na roky 2016 – 2020</w:t>
      </w:r>
      <w:r w:rsidRPr="0063292F">
        <w:rPr>
          <w:rStyle w:val="FootnoteReference"/>
        </w:rPr>
        <w:footnoteReference w:id="29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spoločný pracovný dokument útvarov Komisie: Rodová rovnosť a ženy prostredníctvom vonkajších vzťahov EÚ v období 2016 – 2020 (SWD(2015)0182),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oznámenie Komisie z 12. septembra 2012 s názvom Korene demokracie a trvalo udržateľného rozvoja: spolupráca Európy s občianskou spoločnosťou v oblasti vonkajších vzťahov (COM(2012)0492),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štúdiu s názvom Účinná rozvojová spolupráca – Dosahuje EÚ výsledky?: Podrobná analýza výkonnosti EÚ, o ktorú požiadala Komisia a ktorá bola uverejnená v máji 2020</w:t>
      </w:r>
      <w:r w:rsidRPr="0063292F">
        <w:rPr>
          <w:rStyle w:val="FootnoteReference"/>
        </w:rPr>
        <w:footnoteReference w:id="30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štúdiu z mája 2020 o účinnosti kombinovaného financovania s názvom Využívanie rozvojových fondov na zníženie rizika súkromných investícií: ako je to účinné pri plnení rozvojových cieľov?,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oznámenie Komisie z 15. mája 2013 o posilnení postavenia miestnych orgánov v partnerských krajinách v záujme lepšej správy vecí verejných a účinnejšieho dosahovania výsledkov v oblasti rozvoja (COM(2013)0280),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spoločné oznámenie Komisie Európskemu parlamentu a Rade z 9. marca 2020 s názvom Na ceste ku komplexnej stratégii pre Afriku</w:t>
      </w:r>
      <w:r w:rsidR="000D0B5F" w:rsidRPr="0063292F">
        <w:t>,</w:t>
      </w:r>
      <w:r w:rsidRPr="0063292F">
        <w:t xml:space="preserve"> 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správu OECD z 10. decembra 2018 (Partnerské hodnotenia rozvojovej spolupráce) o Európskej únii,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odporúčanie Výboru OECD pre rozvojovú pomoc (DAC) z 22. februára 2019 o prepojení humanitárnej pomoci, rozvoja a mieru,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 xml:space="preserve">so zreteľom na správu OECD z 24. júna 2020 s názvom Vplyv krízy spôsobenej </w:t>
      </w:r>
      <w:proofErr w:type="spellStart"/>
      <w:r w:rsidRPr="0063292F">
        <w:t>koronavírusom</w:t>
      </w:r>
      <w:proofErr w:type="spellEnd"/>
      <w:r w:rsidRPr="0063292F">
        <w:t xml:space="preserve"> (COVID-19) na financovanie rozvoja</w:t>
      </w:r>
      <w:r w:rsidRPr="0063292F">
        <w:rPr>
          <w:rStyle w:val="FootnoteReference"/>
        </w:rPr>
        <w:footnoteReference w:id="31"/>
      </w:r>
      <w:r w:rsidRPr="0063292F">
        <w:t>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osobitnú správu Medzivládneho panelu o zmene klímy (IPCC) z 25.</w:t>
      </w:r>
      <w:r w:rsidR="000D0B5F" w:rsidRPr="0063292F">
        <w:t> </w:t>
      </w:r>
      <w:r w:rsidRPr="0063292F">
        <w:t xml:space="preserve">septembra 2019 o oceánoch, </w:t>
      </w:r>
      <w:proofErr w:type="spellStart"/>
      <w:r w:rsidRPr="0063292F">
        <w:t>kryosfére</w:t>
      </w:r>
      <w:proofErr w:type="spellEnd"/>
      <w:r w:rsidRPr="0063292F">
        <w:t xml:space="preserve"> a zmene klímy,</w:t>
      </w:r>
    </w:p>
    <w:p w:rsidR="00EF7A9D" w:rsidRPr="0063292F" w:rsidRDefault="00EF7A9D" w:rsidP="00EF7A9D">
      <w:pPr>
        <w:pStyle w:val="NormalHanging12a"/>
      </w:pPr>
      <w:r w:rsidRPr="0063292F">
        <w:t>–</w:t>
      </w:r>
      <w:r w:rsidRPr="0063292F">
        <w:tab/>
        <w:t>so zreteľom na článok 54 rokovacieho poriadku,</w:t>
      </w:r>
    </w:p>
    <w:p w:rsidR="00EF7A9D" w:rsidRPr="0063292F" w:rsidRDefault="00EF7A9D" w:rsidP="00EF7A9D">
      <w:pPr>
        <w:pStyle w:val="NormalHanging12a"/>
      </w:pPr>
      <w:r w:rsidRPr="0063292F">
        <w:lastRenderedPageBreak/>
        <w:t>–</w:t>
      </w:r>
      <w:r w:rsidRPr="0063292F">
        <w:tab/>
        <w:t xml:space="preserve">so zreteľom na správu Výboru pre rozvoj (A9-0212/2020), </w:t>
      </w:r>
    </w:p>
    <w:p w:rsidR="00EF7A9D" w:rsidRPr="0063292F" w:rsidRDefault="00EF7A9D" w:rsidP="00EF7A9D">
      <w:pPr>
        <w:pStyle w:val="NormalHanging12a"/>
      </w:pPr>
      <w:r w:rsidRPr="0063292F">
        <w:t>A.</w:t>
      </w:r>
      <w:r w:rsidRPr="0063292F">
        <w:tab/>
        <w:t xml:space="preserve">keďže kontext rozvojovej spolupráce sa v priebehu rokov zmenil a objavili sa nové globálne výzvy, ako sú zmena klímy a strata biodiverzity, migrácia, potravinová neistota, vnútorné konflikty, terorizmus a násilný extrémizmus a vypuknutie infekčných chorôb, ako aj časté a závažné prírodné katastrofy, najmä v rozvojových krajinách, ktoré postihujú najzraniteľnejšie skupiny; keďže globálne prostredie je čoraz zložitejšie a neistejšie, pričom rastie počet konfliktov a geopolitická rivalita; keďže sa tým zdôrazňuje potreba posilneného </w:t>
      </w:r>
      <w:proofErr w:type="spellStart"/>
      <w:r w:rsidRPr="0063292F">
        <w:t>multilateralizmu</w:t>
      </w:r>
      <w:proofErr w:type="spellEnd"/>
      <w:r w:rsidRPr="0063292F">
        <w:t xml:space="preserve"> a nepretržitého úsilia o zvýšenie účinnosti a vplyvu európskej pomoci;</w:t>
      </w:r>
    </w:p>
    <w:p w:rsidR="00EF7A9D" w:rsidRPr="0063292F" w:rsidRDefault="00EF7A9D" w:rsidP="00EF7A9D">
      <w:pPr>
        <w:pStyle w:val="NormalHanging12a"/>
      </w:pPr>
      <w:r w:rsidRPr="0063292F">
        <w:t>B.</w:t>
      </w:r>
      <w:r w:rsidRPr="0063292F">
        <w:tab/>
        <w:t xml:space="preserve">keďže svet zasiahla pandémia COVID-19; keďže vplyv tejto pandémie na rozvojové krajiny a krajiny prijímajúce pomoc je stále nejasný a predstavuje významný tlak na kapacity pomoci </w:t>
      </w:r>
      <w:proofErr w:type="spellStart"/>
      <w:r w:rsidRPr="0063292F">
        <w:t>darcovských</w:t>
      </w:r>
      <w:proofErr w:type="spellEnd"/>
      <w:r w:rsidRPr="0063292F">
        <w:t xml:space="preserve"> krajín aj súkromných investorov;</w:t>
      </w:r>
    </w:p>
    <w:p w:rsidR="00EF7A9D" w:rsidRPr="0063292F" w:rsidRDefault="00EF7A9D" w:rsidP="00EF7A9D">
      <w:pPr>
        <w:pStyle w:val="NormalHanging12a"/>
      </w:pPr>
      <w:r w:rsidRPr="0063292F">
        <w:t>C.</w:t>
      </w:r>
      <w:r w:rsidRPr="0063292F">
        <w:tab/>
        <w:t>keďže pandémia COVID-19, ktorá postihla všetky krajiny bez ohľadu na úroveň ich rozvoja, má vplyv na zdravie, ale aj hospodársky a sociálny vplyv; keďže táto pandémia má vplyv na rozvojovú spoluprácu a vyžaduje zabezpečiť väčšiu efektívnosť;</w:t>
      </w:r>
    </w:p>
    <w:p w:rsidR="00EF7A9D" w:rsidRPr="0063292F" w:rsidRDefault="00EF7A9D" w:rsidP="00EF7A9D">
      <w:pPr>
        <w:pStyle w:val="NormalHanging12a"/>
      </w:pPr>
      <w:r w:rsidRPr="0063292F">
        <w:t>D.</w:t>
      </w:r>
      <w:r w:rsidRPr="0063292F">
        <w:tab/>
        <w:t>keďže súčasná pandémia vážne narúša cestovný ruch, námornú dopravu a iné odvetvia spojené s oceánmi a mohla by mať na tieto sektory dlhodobé účinky, čo by malo negatívny vplyv na hospodárstva mnohých rozvojových krajín vrátane najzraniteľnejších krajín, malých ostrovných rozvojových štátov a najmenej rozvinutých krajín;</w:t>
      </w:r>
    </w:p>
    <w:p w:rsidR="00EF7A9D" w:rsidRPr="0063292F" w:rsidRDefault="007A4839" w:rsidP="00EF7A9D">
      <w:pPr>
        <w:pStyle w:val="NormalHanging12a"/>
      </w:pPr>
      <w:r w:rsidRPr="0063292F">
        <w:t>E.</w:t>
      </w:r>
      <w:r w:rsidR="00EF7A9D" w:rsidRPr="0063292F">
        <w:tab/>
        <w:t>keďže účinnosť pomoci závisí od spôsobu uplatňovania zásady súdržnosti politík v záujme rozvoja (</w:t>
      </w:r>
      <w:r w:rsidRPr="0063292F">
        <w:t>ďalej len „</w:t>
      </w:r>
      <w:r w:rsidR="00EF7A9D" w:rsidRPr="0063292F">
        <w:t>PCD</w:t>
      </w:r>
      <w:r w:rsidRPr="0063292F">
        <w:t>“</w:t>
      </w:r>
      <w:r w:rsidR="00EF7A9D" w:rsidRPr="0063292F">
        <w:t xml:space="preserve">); keďže je stále potrebné vyvinúť väčšie úsilie na dosiahnutie súladu so zásadami </w:t>
      </w:r>
      <w:r w:rsidRPr="0063292F">
        <w:t>PCD</w:t>
      </w:r>
      <w:r w:rsidR="00EF7A9D" w:rsidRPr="0063292F">
        <w:t>, najmä v oblasti migračnej, obchodnej, klimatickej a poľnohospodárskej politiky EÚ;</w:t>
      </w:r>
    </w:p>
    <w:p w:rsidR="00EF7A9D" w:rsidRPr="0063292F" w:rsidRDefault="00EF7A9D" w:rsidP="00EF7A9D">
      <w:pPr>
        <w:pStyle w:val="NormalHanging12a"/>
      </w:pPr>
      <w:r w:rsidRPr="0063292F">
        <w:t>F.</w:t>
      </w:r>
      <w:r w:rsidRPr="0063292F">
        <w:tab/>
        <w:t>keďže vnútorné a vonkajšie politiky EÚ a</w:t>
      </w:r>
      <w:r w:rsidR="007A4839" w:rsidRPr="0063292F">
        <w:t xml:space="preserve"> členských štátov by v súlade s</w:t>
      </w:r>
      <w:r w:rsidRPr="0063292F">
        <w:t xml:space="preserve"> </w:t>
      </w:r>
      <w:r w:rsidR="007A4839" w:rsidRPr="0063292F">
        <w:t>PCD</w:t>
      </w:r>
      <w:r w:rsidRPr="0063292F">
        <w:t xml:space="preserve"> nemali mať negatívny vplyv na rozvojové krajiny; keďže sa čoraz väčší dôraz kladie na podporu záujmov vonkajšej politiky EÚ; keďže základmi vonkajšej pomoci EÚ by mali byť aj naďalej účinnosť a efektívnosť rozvoja a potreby partnerských krajín v súlade s článkom 208 ZFEÚ, v ktorom sa stanovuje, že zníženie a odstránenie chudoby je hlavným cieľom politiky rozvojovej spolupráce;</w:t>
      </w:r>
    </w:p>
    <w:p w:rsidR="00EF7A9D" w:rsidRPr="0063292F" w:rsidRDefault="00EF7A9D" w:rsidP="00EF7A9D">
      <w:pPr>
        <w:pStyle w:val="NormalHanging12a"/>
      </w:pPr>
      <w:r w:rsidRPr="0063292F">
        <w:t>G.</w:t>
      </w:r>
      <w:r w:rsidRPr="0063292F">
        <w:tab/>
        <w:t>keďže zásady účinnosti rozvoja, ako aj všetky zdroje rozvojového financovania by sa mali formulovať tak, aby sa splnili ciele stanovené v Parížskej dohode o zmene klímy;</w:t>
      </w:r>
    </w:p>
    <w:p w:rsidR="00EF7A9D" w:rsidRPr="0063292F" w:rsidRDefault="00EF7A9D" w:rsidP="00EF7A9D">
      <w:pPr>
        <w:pStyle w:val="NormalHanging12a"/>
      </w:pPr>
      <w:r w:rsidRPr="0063292F">
        <w:t>H.</w:t>
      </w:r>
      <w:r w:rsidRPr="0063292F">
        <w:tab/>
        <w:t>keďže svetová populácia rastie rýchlejšie ako hrubý národný dôchodok (</w:t>
      </w:r>
      <w:r w:rsidR="000D0B5F" w:rsidRPr="0063292F">
        <w:t>ďalej len „</w:t>
      </w:r>
      <w:r w:rsidRPr="0063292F">
        <w:t>HND</w:t>
      </w:r>
      <w:r w:rsidR="000D0B5F" w:rsidRPr="0063292F">
        <w:t>“</w:t>
      </w:r>
      <w:r w:rsidRPr="0063292F">
        <w:t xml:space="preserve">), najmä v </w:t>
      </w:r>
      <w:proofErr w:type="spellStart"/>
      <w:r w:rsidRPr="0063292F">
        <w:t>subsaharskej</w:t>
      </w:r>
      <w:proofErr w:type="spellEnd"/>
      <w:r w:rsidRPr="0063292F">
        <w:t xml:space="preserve"> Afrike, kde sa v nasledujúcich 30 rokoch očakáva zdvojnásobenie obyvateľstva na 2,1 miliardy v roku 2050 a 3,8 miliardy na konci storočia; keďže napriek výraznému hospodárskemu rastu sa tým zvýši počet ľudí, ktorí žijú v chudobe, a počet nezamestnaných, čo poukazuje na naliehavú potrebu účinne podporovať rozvojové krajiny v ich úsilí o dosiahnutie cieľov udržateľného rozvoja;</w:t>
      </w:r>
    </w:p>
    <w:p w:rsidR="00EF7A9D" w:rsidRPr="0063292F" w:rsidRDefault="00EF7A9D" w:rsidP="00EF7A9D">
      <w:pPr>
        <w:pStyle w:val="NormalHanging12a"/>
      </w:pPr>
      <w:r w:rsidRPr="0063292F">
        <w:t>I.</w:t>
      </w:r>
      <w:r w:rsidRPr="0063292F">
        <w:tab/>
        <w:t>keďže stratégia EÚ pre Afriku založená na rovnocennom partnerstve zahŕňa zohľadnenie osobitných obáv afrických krajín v súvislosti s hospodárskou diverzifikáciou, s industrializáciou, so stratou verejných príjmov a s regionálnou integráciou;</w:t>
      </w:r>
    </w:p>
    <w:p w:rsidR="00EF7A9D" w:rsidRPr="0063292F" w:rsidRDefault="00EF7A9D" w:rsidP="00EF7A9D">
      <w:pPr>
        <w:pStyle w:val="NormalHanging12a"/>
      </w:pPr>
      <w:r w:rsidRPr="0063292F">
        <w:lastRenderedPageBreak/>
        <w:t>J.</w:t>
      </w:r>
      <w:r w:rsidRPr="0063292F">
        <w:tab/>
        <w:t>keďže nerovnosti medzi krajinami sú stále veľmi vysoké, zatiaľ čo nerovnosť má negatívny vplyv na efektívnosť a účinnosť pomoci;</w:t>
      </w:r>
    </w:p>
    <w:p w:rsidR="00EF7A9D" w:rsidRPr="0063292F" w:rsidRDefault="00EF7A9D" w:rsidP="00EF7A9D">
      <w:pPr>
        <w:pStyle w:val="NormalHanging12a"/>
      </w:pPr>
      <w:r w:rsidRPr="0063292F">
        <w:t>K.</w:t>
      </w:r>
      <w:r w:rsidRPr="0063292F">
        <w:tab/>
        <w:t>keďže je dôležité zaviesť opatrenia zamerané na budovanie a zvyšovanie odolnosti komunít, najmä v nestabilných partnerských krajinách, v krajinách postihnutých konfliktmi alebo prírodnými katastrofami a v krajinách prijímajúcich utečencov;</w:t>
      </w:r>
    </w:p>
    <w:p w:rsidR="00EF7A9D" w:rsidRPr="0063292F" w:rsidRDefault="00EF7A9D" w:rsidP="00EF7A9D">
      <w:pPr>
        <w:pStyle w:val="NormalHanging12a"/>
      </w:pPr>
      <w:r w:rsidRPr="0063292F">
        <w:t>L.</w:t>
      </w:r>
      <w:r w:rsidRPr="0063292F">
        <w:tab/>
        <w:t>keďže zdravie a pohoda detí predstavuje kľúčový cieľ politík rozvojovej spolupráce;</w:t>
      </w:r>
    </w:p>
    <w:p w:rsidR="00EF7A9D" w:rsidRPr="0063292F" w:rsidRDefault="00EF7A9D" w:rsidP="00EF7A9D">
      <w:pPr>
        <w:pStyle w:val="NormalHanging12a"/>
      </w:pPr>
      <w:r w:rsidRPr="0063292F">
        <w:t>M.</w:t>
      </w:r>
      <w:r w:rsidRPr="0063292F">
        <w:tab/>
        <w:t>keďže EÚ, ktorá je spolu so svojimi členskými štátmi celosvetovo najväčším poskytovateľom oficiálnej rozvojovej pomoci (</w:t>
      </w:r>
      <w:r w:rsidR="00B600BB" w:rsidRPr="0063292F">
        <w:t>ďalej len „</w:t>
      </w:r>
      <w:r w:rsidRPr="0063292F">
        <w:t>ODA</w:t>
      </w:r>
      <w:r w:rsidR="00B600BB" w:rsidRPr="0063292F">
        <w:t>“</w:t>
      </w:r>
      <w:r w:rsidRPr="0063292F">
        <w:t>), ktorá v roku 2018 predstavovala celkom 74,4 miliardy EUR a takmer 57</w:t>
      </w:r>
      <w:r w:rsidR="00B600BB" w:rsidRPr="0063292F">
        <w:t> </w:t>
      </w:r>
      <w:r w:rsidRPr="0063292F">
        <w:t>% celkovej ODA na svete, je odhodlaná presadzovať účinnú rozvojovú spoluprácu zameranú na ukončenie všetkých foriem chudoby a nerovnosti a podporovať svojich rozvojových partnerov pri plnení Agendy 2030 pre udržateľný rozvoj; keďže v roku 2019 členovia Výboru OECD pre rozvojovú pomoc spoločne vynaložili na oficiálnu rozvojovú pomoc len 0,3</w:t>
      </w:r>
      <w:r w:rsidR="00B600BB" w:rsidRPr="0063292F">
        <w:t> </w:t>
      </w:r>
      <w:r w:rsidRPr="0063292F">
        <w:t>% HND, pričom len päť členov splnilo alebo prekročilo cieľ výdavkov (Spojené kráľovstvo, Švédsko, Dánsko, Luxembursko a Nórsko);</w:t>
      </w:r>
    </w:p>
    <w:p w:rsidR="00EF7A9D" w:rsidRPr="0063292F" w:rsidRDefault="00EF7A9D" w:rsidP="00EF7A9D">
      <w:pPr>
        <w:pStyle w:val="NormalHanging12a"/>
      </w:pPr>
      <w:r w:rsidRPr="0063292F">
        <w:t>N.</w:t>
      </w:r>
      <w:r w:rsidRPr="0063292F">
        <w:tab/>
        <w:t xml:space="preserve">keďže zásady zodpovednosti krajiny a demokratickej zodpovednosti a zosúladenia so zameraním na výsledky, </w:t>
      </w:r>
      <w:proofErr w:type="spellStart"/>
      <w:r w:rsidRPr="0063292F">
        <w:t>inkluzívne</w:t>
      </w:r>
      <w:proofErr w:type="spellEnd"/>
      <w:r w:rsidRPr="0063292F">
        <w:t xml:space="preserve"> partnerstvá, transparentnosť a zodpovednosť by mali byť základom všetkých foriem rozvojovej spolupráce, aby sa zabezpečilo efektívne a účinné využívanie rozvojových fondov, a tak riadne splnili ciele udržateľného rozvoja;</w:t>
      </w:r>
    </w:p>
    <w:p w:rsidR="00EF7A9D" w:rsidRPr="0063292F" w:rsidRDefault="00EF7A9D" w:rsidP="00DB57C5">
      <w:pPr>
        <w:pStyle w:val="NormalHanging12a"/>
      </w:pPr>
      <w:r w:rsidRPr="0063292F">
        <w:t>O.</w:t>
      </w:r>
      <w:r w:rsidRPr="0063292F">
        <w:tab/>
        <w:t>keďže úlohou Globálneho partnerstva pre účinnú rozvojovú spoluprácu (GPEDC) je presadzovať zásady účinnosti pomoci; keďže toto partnerstvo má tri strategické priority, ktorými sa bude riadiť jeho príspevok k začatiu tzv. Desaťročia opatrení, a to: podpora účinnosti rozvoja s cieľom urýchliť vykonávanie Agendy 2030; budovanie lepších partnerstiev; a využívanie monitorovania v záujme opatrení;</w:t>
      </w:r>
    </w:p>
    <w:p w:rsidR="00EF7A9D" w:rsidRPr="0063292F" w:rsidRDefault="00EF7A9D" w:rsidP="00EF7A9D">
      <w:pPr>
        <w:pStyle w:val="NormalHanging12a"/>
      </w:pPr>
      <w:r w:rsidRPr="0063292F">
        <w:t>P.</w:t>
      </w:r>
      <w:r w:rsidRPr="0063292F">
        <w:tab/>
        <w:t>keďže štúdia s názvom Účinná rozvojová spolupráca – Dosahuje EÚ výsledky?: podrobná analýza výsledkov činnosti EÚ poukazuje na to, že členské štáty a inštitúcie EÚ sa čoraz menej riadia zásadami účinnosti a súvisiacimi ukazovateľmi, najmä predvídateľnosťou, využívaním ukazovateľov vychádzajúcich z rámcov výsledkov partnerských krajín, využívaním systémov hospodárenia s verejnými financiami partnerských krajín a záväzkom zapojiť partnerské vlády do hodnotení projektov, ako aj transparentného podávania správ;</w:t>
      </w:r>
    </w:p>
    <w:p w:rsidR="00EF7A9D" w:rsidRPr="0063292F" w:rsidRDefault="00EF7A9D" w:rsidP="00EF7A9D">
      <w:pPr>
        <w:pStyle w:val="NormalHanging12a"/>
      </w:pPr>
      <w:r w:rsidRPr="0063292F">
        <w:t>Q.</w:t>
      </w:r>
      <w:r w:rsidRPr="0063292F">
        <w:tab/>
        <w:t>keďže rozvojové politiky a partnerstvá EÚ musia byť postavené na udržateľnej politickej a hospodárskej spolupráci s partnermi, ktorá sa uskutočňuje na rovnocennom základe a ktorej základným prvkom je rešpektovanie ľudských práv; keďže jej rozvojové politiky musia zohľadňovať situáciu nútene vysídlených osôb, zraniteľných skupín obyvateľstva a migrantov a žiadateľov o azyl;</w:t>
      </w:r>
    </w:p>
    <w:p w:rsidR="00EF7A9D" w:rsidRPr="0063292F" w:rsidRDefault="00EF7A9D" w:rsidP="00EF7A9D">
      <w:pPr>
        <w:pStyle w:val="NormalHanging12a"/>
      </w:pPr>
      <w:r w:rsidRPr="0063292F">
        <w:t>R.</w:t>
      </w:r>
      <w:r w:rsidRPr="0063292F">
        <w:tab/>
        <w:t>keďže vzhľadom na nárast počtu dlhotrvajúcich kríz by EÚ mala pokračovať vo svojom úsilí o sfunkčnenie prepojenia humanitárnej pomoci a rozvoja s cieľom dosiahnuť dlhodobé výsledky;</w:t>
      </w:r>
    </w:p>
    <w:p w:rsidR="00EF7A9D" w:rsidRPr="0063292F" w:rsidRDefault="00EF7A9D" w:rsidP="00EF7A9D">
      <w:pPr>
        <w:pStyle w:val="NormalHanging12a"/>
      </w:pPr>
      <w:r w:rsidRPr="0063292F">
        <w:t>S.</w:t>
      </w:r>
      <w:r w:rsidRPr="0063292F">
        <w:tab/>
        <w:t>keďže fragmentácia pomoci zostáva trvalou výzvou z dôvodu rozširovania počtu darcov a agentúr zameraných na pomoc a nedostatočnej koordinácie ich činností a projektov;</w:t>
      </w:r>
    </w:p>
    <w:p w:rsidR="00EF7A9D" w:rsidRPr="0063292F" w:rsidRDefault="00EF7A9D" w:rsidP="00EF7A9D">
      <w:pPr>
        <w:pStyle w:val="NormalHanging12a"/>
      </w:pPr>
      <w:r w:rsidRPr="0063292F">
        <w:lastRenderedPageBreak/>
        <w:t>T.</w:t>
      </w:r>
      <w:r w:rsidRPr="0063292F">
        <w:tab/>
        <w:t>keďže počas procesu programovania je nevyhnutné zaručiť rozsiahle konzultácie v partnerských krajinách so všetkými príslušnými aktérmi, ktorými sú: miestne orgány, národné parlamenty, občianska spoločnosť, miestne mimovládne organizácie, združenia žien, marginalizované skupiny, OSN a jej agentúry, MSP a súkromný sektor;</w:t>
      </w:r>
    </w:p>
    <w:p w:rsidR="00EF7A9D" w:rsidRPr="0063292F" w:rsidRDefault="00EF7A9D" w:rsidP="00EF7A9D">
      <w:pPr>
        <w:pStyle w:val="NormalHanging12a"/>
      </w:pPr>
      <w:r w:rsidRPr="0063292F">
        <w:t>U.</w:t>
      </w:r>
      <w:r w:rsidRPr="0063292F">
        <w:tab/>
        <w:t>keďže bez prístupu zdola nahor k rozvoju nie je možné maximalizovať výsledky rozvoja; keďže lepšia výmena konkrétnych príkladov a poradenstva o úspešných projektoch na mieste v partnerských krajinách pomôže účinne uplatňovať zásady a úspešne dosiahnuť plánované výsledky;</w:t>
      </w:r>
    </w:p>
    <w:p w:rsidR="00EF7A9D" w:rsidRPr="0063292F" w:rsidRDefault="00EF7A9D" w:rsidP="00EF7A9D">
      <w:pPr>
        <w:pStyle w:val="NormalHanging12a"/>
      </w:pPr>
      <w:r w:rsidRPr="0063292F">
        <w:t>V.</w:t>
      </w:r>
      <w:r w:rsidRPr="0063292F">
        <w:tab/>
        <w:t xml:space="preserve">keďže účinné zapojenie súkromného sektora by malo vychádzať z piatich zásad z Kampaly, ktorými sú: </w:t>
      </w:r>
      <w:proofErr w:type="spellStart"/>
      <w:r w:rsidRPr="0063292F">
        <w:t>inkluzívna</w:t>
      </w:r>
      <w:proofErr w:type="spellEnd"/>
      <w:r w:rsidRPr="0063292F">
        <w:t xml:space="preserve"> zodpovednosť krajiny; výsledky a cielený vplyv; </w:t>
      </w:r>
      <w:proofErr w:type="spellStart"/>
      <w:r w:rsidRPr="0063292F">
        <w:t>inkluzívne</w:t>
      </w:r>
      <w:proofErr w:type="spellEnd"/>
      <w:r w:rsidRPr="0063292F">
        <w:t xml:space="preserve"> partnerstvo; transparentnosť a zodpovednosť; a nezabudnúť na nikoho;</w:t>
      </w:r>
    </w:p>
    <w:p w:rsidR="00EF7A9D" w:rsidRPr="0063292F" w:rsidRDefault="00EF7A9D" w:rsidP="00EF7A9D">
      <w:pPr>
        <w:pStyle w:val="NormalHanging12a"/>
      </w:pPr>
      <w:r w:rsidRPr="0063292F">
        <w:t>W.</w:t>
      </w:r>
      <w:r w:rsidRPr="0063292F">
        <w:tab/>
        <w:t>keďže v partnerských krajinách existuje viacero ďalších aktérov a darcov, ktorí poskytujú humanitárnu a rozvojovú pomoc;</w:t>
      </w:r>
    </w:p>
    <w:p w:rsidR="00EF7A9D" w:rsidRPr="0063292F" w:rsidRDefault="00EF7A9D" w:rsidP="00EF7A9D">
      <w:pPr>
        <w:pStyle w:val="NormalHanging12a"/>
      </w:pPr>
      <w:r w:rsidRPr="0063292F">
        <w:t>X.</w:t>
      </w:r>
      <w:r w:rsidRPr="0063292F">
        <w:tab/>
        <w:t>keďže hoci inštitúcie EÚ a členské štáty, miestne a regionálne orgány, medzinárodné organizácie a organizácie občianskej spoločnosti majú veľké množstvo údajov a odborných znalostí, tieto údaje a znalosti sa aj naďalej nedostatočne vymieňajú; keďže tieto údaje by mali byť viac prístupné a mali by sa používať pri tvorbe politík;</w:t>
      </w:r>
    </w:p>
    <w:p w:rsidR="00EF7A9D" w:rsidRPr="0063292F" w:rsidRDefault="00EF7A9D" w:rsidP="00EF7A9D">
      <w:pPr>
        <w:pStyle w:val="NormalHanging12a"/>
      </w:pPr>
      <w:r w:rsidRPr="0063292F">
        <w:t>Y.</w:t>
      </w:r>
      <w:r w:rsidRPr="0063292F">
        <w:tab/>
        <w:t xml:space="preserve">keďže trojstranná spolupráca je osobitne účinná pri zlepšovaní spolupráce s cieľom reagovať na spoločné výzvy, ako sú prevencia a zvládanie prírodných katastrof a obnova po katastrofách, ktoré spomaľujú a prerušujú rozvoj, bezpečnostné výzvy v širšom regióne alebo prispôsobenie modelov malého podnikania novým hospodárskym výzvam, ktoré sa objavili počas krízy spôsobenej </w:t>
      </w:r>
      <w:proofErr w:type="spellStart"/>
      <w:r w:rsidRPr="0063292F">
        <w:t>koronavírusom</w:t>
      </w:r>
      <w:proofErr w:type="spellEnd"/>
      <w:r w:rsidRPr="0063292F">
        <w:t>;</w:t>
      </w:r>
    </w:p>
    <w:p w:rsidR="00EF7A9D" w:rsidRPr="0063292F" w:rsidRDefault="00EF7A9D" w:rsidP="00EF7A9D">
      <w:pPr>
        <w:pStyle w:val="NormalHanging12a"/>
      </w:pPr>
      <w:r w:rsidRPr="0063292F">
        <w:t>Z.</w:t>
      </w:r>
      <w:r w:rsidRPr="0063292F">
        <w:tab/>
        <w:t>keďže koncepcia a vykonávanie účinnej politiky pomoci si vyžaduje hlbšie pochopenie vplyvu pomoci a celkového prostredia, v ktorom rozvojová pomoc pôsobí;</w:t>
      </w:r>
    </w:p>
    <w:p w:rsidR="00EF7A9D" w:rsidRPr="0063292F" w:rsidRDefault="00EF7A9D" w:rsidP="00EF7A9D">
      <w:pPr>
        <w:pStyle w:val="NormalHanging12a"/>
      </w:pPr>
      <w:r w:rsidRPr="0063292F">
        <w:t>AA.</w:t>
      </w:r>
      <w:r w:rsidRPr="0063292F">
        <w:tab/>
        <w:t>keďže prístupné a spoľahlivé údaje o pomoci posilňujú transparentnosť tokov pomoci a pomáhajú všetkým rozvojovým partnerom pri ich postupoch plánovania a koordinácie; keďže vďaka medzinárodným normám, ktoré podporuje Iniciatíva za transparentnosť poskytovania medzinárodnej pomoci (IATI), sú tieto údaje porovnateľné; keďže dosiahnutie výsledkov v oblasti rozvoja a úsilie o dosiahnutie cieľov udržateľného rozvoja si vyžadujú podrobné údaje o miestnom kontexte, cielený dohodnutý súbor výsledkov, spoločné opatrenia na ich dosiahnutie a rýchlu spätnú väzbu verejnosti s cieľom uľahčiť vyvodenie zodpovednosti;</w:t>
      </w:r>
    </w:p>
    <w:p w:rsidR="00EF7A9D" w:rsidRPr="0063292F" w:rsidRDefault="00EF7A9D" w:rsidP="00EF7A9D">
      <w:pPr>
        <w:pStyle w:val="NormalHanging12a"/>
      </w:pPr>
      <w:r w:rsidRPr="0063292F">
        <w:t>AB.</w:t>
      </w:r>
      <w:r w:rsidRPr="0063292F">
        <w:tab/>
        <w:t>keďže rodová rovnosť je základnou zásadou rozvojovej pomoci EÚ; keďže vplyv rozvojových politík na ženy a dievčatá je rôzny; keďže v oblasti rozvoja chýbajú údaje rozčlenené podľa pohlavia;</w:t>
      </w:r>
    </w:p>
    <w:p w:rsidR="00EF7A9D" w:rsidRPr="0063292F" w:rsidRDefault="00EF7A9D" w:rsidP="00EF7A9D">
      <w:pPr>
        <w:pStyle w:val="NormalHanging12a"/>
      </w:pPr>
      <w:r w:rsidRPr="0063292F">
        <w:t>AC.</w:t>
      </w:r>
      <w:r w:rsidRPr="0063292F">
        <w:tab/>
        <w:t>keďže politiky pomoci, ktoré podporujú rovnosť, sa osvedčili ako účinnejšie pri dosahovaní cieľov udržateľného rozvoja, najmä pri boji proti chudobe a podpore vzdelávania;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AD.</w:t>
      </w:r>
      <w:r w:rsidRPr="0063292F">
        <w:tab/>
        <w:t xml:space="preserve">keďže existuje reálne riziko, že prínosy rozvojovej pomoci, priamych zahraničných investícií (PZI) a humanitárnej pomoci by si mohli privlastniť politické a hospodárske elity; keďže sa tým zdôrazňuje potreba rozvojovej spolupráce, ktorá je zameraná na dosiahnutie transformačných zmien v politických ekonomikách, najmä v súvislosti so </w:t>
      </w:r>
      <w:r w:rsidRPr="0063292F">
        <w:lastRenderedPageBreak/>
        <w:t>správou vecí verejných, s rozdelením moci, so sociálnym vylúčením, so sociálnou ochranou a s prístupom k zdrojom, ako aj s interakciou s globálnym hospodárstvom; keďže to zdôrazňuje potrebu podporovať a presadzovať prostredníctvom rozvojovej spolupráce zásady dobrej správy vecí verejných, právneho štátu, deľby moci a presadzovania ľudských práv;</w:t>
      </w:r>
    </w:p>
    <w:p w:rsidR="00EF7A9D" w:rsidRPr="0063292F" w:rsidRDefault="00EF7A9D" w:rsidP="00EF7A9D">
      <w:pPr>
        <w:pStyle w:val="NormalHanging12a"/>
      </w:pPr>
      <w:r w:rsidRPr="0063292F">
        <w:t>AE.</w:t>
      </w:r>
      <w:r w:rsidRPr="0063292F">
        <w:tab/>
        <w:t>keďže Konferencia Organizácie Spojených národov pre obchod a rozvoj (UNCTAD) odhaduje, že rozvojové krajiny budú po skončení pandémie COVID-19 potrebovať odpustenie dlhu vo výške 1 bilión USD; keďže Svetová banka, MMF, G20 a G7 prijali opatrenia na odpustenie verejného dlhu pre najchudobnejšie krajiny sveta; keďže tieto opatrenia by sa mali doplniť, aby rozvojová pomoc mohla účinne plniť ciele udržateľného rozvoja v oblastiach, ako je prístup k základným službám, dobrá správa vecí verejných a základné ľudské práva v rozvojových krajinách;</w:t>
      </w:r>
    </w:p>
    <w:p w:rsidR="00EF7A9D" w:rsidRPr="0063292F" w:rsidRDefault="00EF7A9D" w:rsidP="00EF7A9D">
      <w:pPr>
        <w:pStyle w:val="NormalHanging12a"/>
      </w:pPr>
      <w:r w:rsidRPr="0063292F">
        <w:t>AF.</w:t>
      </w:r>
      <w:r w:rsidRPr="0063292F">
        <w:tab/>
        <w:t>keďže EÚ je prítomná vo všetkých oceánoch prostredníctvom svojich zámorských území (tak najvzdialenejších regiónov, ako aj zámorských krajín a území) a je nevyhnutné, aby rozvíjala regionálne stratégie, ktoré v čo najväčšej miere zohľadňujú potreby vyjadrené na miestnej úrovni;</w:t>
      </w:r>
    </w:p>
    <w:p w:rsidR="00EF7A9D" w:rsidRPr="0063292F" w:rsidRDefault="00EF7A9D" w:rsidP="00EF7A9D">
      <w:pPr>
        <w:pStyle w:val="NormalHanging12a"/>
      </w:pPr>
      <w:r w:rsidRPr="0063292F">
        <w:t>AG.</w:t>
      </w:r>
      <w:r w:rsidRPr="0063292F">
        <w:tab/>
        <w:t>keďže miestne orgány zohrávajú pri dosahovaní cieľov udržateľného rozvoja ústrednú úlohu decentralizovaná spolupráca musí byť stredobodom rozvojovej stratégie EÚ;</w:t>
      </w:r>
    </w:p>
    <w:p w:rsidR="00EF7A9D" w:rsidRPr="0063292F" w:rsidRDefault="00EF7A9D" w:rsidP="00EF7A9D">
      <w:pPr>
        <w:pStyle w:val="NormalHanging12a"/>
      </w:pPr>
      <w:r w:rsidRPr="0063292F">
        <w:t>AH.</w:t>
      </w:r>
      <w:r w:rsidRPr="0063292F">
        <w:tab/>
        <w:t>keďže rozvojové politiky musia zohľadňovať adaptáciu na vplyv zmeny klímy z hľadiska vysídľovania zraniteľných skupín obyvateľstva a zhoršovania sociálnych nerovností a s cieľom odstrániť chudobu;</w:t>
      </w:r>
    </w:p>
    <w:p w:rsidR="00EF7A9D" w:rsidRPr="0063292F" w:rsidRDefault="00EF7A9D" w:rsidP="00EF7A9D">
      <w:pPr>
        <w:pStyle w:val="NormalHanging12a"/>
      </w:pPr>
      <w:r w:rsidRPr="0063292F">
        <w:t>AI.</w:t>
      </w:r>
      <w:r w:rsidRPr="0063292F">
        <w:tab/>
        <w:t>keďže príjmy, o ktoré rozvojové krajiny prichádzajú v dôsledku nezákonných finančných tokov vrátane daňových únikov, predstavujú viac ako dvojnásobok sumy, ktorú získavajú prostredníctvom oficiálnych vonkajších zdrojov vrátane rozvojovej pomoci;</w:t>
      </w:r>
    </w:p>
    <w:p w:rsidR="00EF7A9D" w:rsidRPr="0063292F" w:rsidRDefault="00EF7A9D" w:rsidP="00EF7A9D">
      <w:pPr>
        <w:pStyle w:val="NormalHanging12a"/>
      </w:pPr>
      <w:r w:rsidRPr="0063292F">
        <w:t>AJ.</w:t>
      </w:r>
      <w:r w:rsidRPr="0063292F">
        <w:tab/>
        <w:t>keďže využívanie rámcov pre výsledky a nástrojov plánovania jednotlivých krajín (riadenie verejných financií) inštitúciami EÚ sa znižuje, hoci zohrávajú významnú úlohu v účinnej rozvojovej spolupráci, pri dosahovaní cieľov udržateľného rozvoja a dosahovaní rodovej rovnosti, pretože majú pozitívny vplyv v oblasti uplatňovania hľadiska rodovej rovnosti; keďže v tejto súvislosti je potrebný väčší záväzok;</w:t>
      </w:r>
    </w:p>
    <w:p w:rsidR="00EF7A9D" w:rsidRPr="0063292F" w:rsidRDefault="00EF7A9D" w:rsidP="00EF7A9D">
      <w:pPr>
        <w:pStyle w:val="NormalHanging12a"/>
      </w:pPr>
      <w:r w:rsidRPr="0063292F">
        <w:t>1.</w:t>
      </w:r>
      <w:r w:rsidRPr="0063292F">
        <w:tab/>
        <w:t xml:space="preserve">zdôrazňuje, že účinnosť znamená dosiahnuť väčší a lepší vplyv, dosiahnuť ciele udržateľného rozvoja a na nikoho nezabudnúť; domnieva sa, že keď je európska rozvojová spolupráca v súlade s vlastným úsilím a miestnymi potrebami partnerských krajín, koordinovaná s úsilím ostatných darcov a poskytovaná prostredníctvom inštitúcií a systémov ich partnerov, ako aj miestnych aktérov a občianskej spoločnosti, a keď podporuje priority, ktoré boli dohodnuté prostredníctvom </w:t>
      </w:r>
      <w:proofErr w:type="spellStart"/>
      <w:r w:rsidRPr="0063292F">
        <w:t>inkluzívnych</w:t>
      </w:r>
      <w:proofErr w:type="spellEnd"/>
      <w:r w:rsidRPr="0063292F">
        <w:t xml:space="preserve"> a spravodlivých politických procesov, čím sa zabezpečí demokratická zodpovednosť krajiny a začlenenie všetkých zainteresovaných strán, vplyv tejto spolupráce je väčší, rýchlejší a udržateľnejší;</w:t>
      </w:r>
    </w:p>
    <w:p w:rsidR="00EF7A9D" w:rsidRPr="0063292F" w:rsidRDefault="00EF7A9D" w:rsidP="00EF7A9D">
      <w:pPr>
        <w:pStyle w:val="NormalHanging12a"/>
      </w:pPr>
      <w:r w:rsidRPr="0063292F">
        <w:t>2.</w:t>
      </w:r>
      <w:r w:rsidRPr="0063292F">
        <w:tab/>
        <w:t xml:space="preserve">podčiarkuje, že EÚ ako najväčší svetový darca a dôležitý medzinárodný aktér pre </w:t>
      </w:r>
      <w:proofErr w:type="spellStart"/>
      <w:r w:rsidRPr="0063292F">
        <w:t>multilateralizmus</w:t>
      </w:r>
      <w:proofErr w:type="spellEnd"/>
      <w:r w:rsidRPr="0063292F">
        <w:t xml:space="preserve"> a demokraciu, ktoré sú založené na pravidlách, by mala koordinovaným spôsobom využívať svoj účinný súbor nástrojov a spôsobov pomoci s cieľom umožniť rozdelenie úloh a zabrániť fragmentácii pomoci a určiť priority, v </w:t>
      </w:r>
      <w:r w:rsidRPr="0063292F">
        <w:lastRenderedPageBreak/>
        <w:t xml:space="preserve">ktorých môže účinne dosiahnuť vplyv s najväčšou pridanou hodnotou; </w:t>
      </w:r>
    </w:p>
    <w:p w:rsidR="00EF7A9D" w:rsidRPr="0063292F" w:rsidRDefault="00EF7A9D" w:rsidP="00EF7A9D">
      <w:pPr>
        <w:pStyle w:val="NormalHanging12a"/>
      </w:pPr>
      <w:r w:rsidRPr="0063292F">
        <w:t>3.</w:t>
      </w:r>
      <w:r w:rsidRPr="0063292F">
        <w:tab/>
        <w:t>zdôrazňuje, že EÚ by mala prevziať vedúcu úlohu pri uplatňovaní zásad účinnosti a efektívnosti pomoci, aby sa v jej partnerských krajinách zabezpečil skutočný vplyv a plnenie cieľov udržateľného rozvoja a aby sa pritom na nikoho nezabudlo; v tejto súvislosti zdôrazňuje vplyv, ktorý by mohlo mať využívanie rozvojovej pomoci a priamych zahraničných investícií zo strany EÚ na riešenie základných príčin migrácie a núteného vysídľovania;</w:t>
      </w:r>
    </w:p>
    <w:p w:rsidR="00EF7A9D" w:rsidRPr="0063292F" w:rsidRDefault="00EF7A9D" w:rsidP="00EF7A9D">
      <w:pPr>
        <w:pStyle w:val="NormalHanging12a"/>
      </w:pPr>
      <w:r w:rsidRPr="0063292F">
        <w:t>4.</w:t>
      </w:r>
      <w:r w:rsidRPr="0063292F">
        <w:tab/>
        <w:t xml:space="preserve">vyzdvihuje potrebu vykonávať politické ciele nového Európskeho konsenzu o rozvoji strategickejším a cielenejším spôsobom v každej partnerskej krajine, a uplatňovať tak prepojenie humanitárnej pomoci a rozvoja a </w:t>
      </w:r>
      <w:r w:rsidR="007A4839" w:rsidRPr="0063292F">
        <w:t>PCD</w:t>
      </w:r>
      <w:r w:rsidRPr="0063292F">
        <w:t>; zdôrazňuje, že programy pomoci by sa mali kombinovať s analýzou udržateľnosti dlhu a mali by zohľadňovať potrebu posilniť parlamentný dohľad v partnerskej krajine;</w:t>
      </w:r>
    </w:p>
    <w:p w:rsidR="00EF7A9D" w:rsidRPr="0063292F" w:rsidRDefault="00EF7A9D" w:rsidP="00EF7A9D">
      <w:pPr>
        <w:pStyle w:val="NormalHanging12a"/>
      </w:pPr>
      <w:r w:rsidRPr="0063292F">
        <w:t>5.</w:t>
      </w:r>
      <w:r w:rsidRPr="0063292F">
        <w:tab/>
        <w:t>zdôrazňuje, že EÚ musí naďalej pozorne monitorovať využívanie finančných prostriedkov a prijať všetky potrebné opatrenia, aby zabránila akémukoľvek zneužitiu prostriedkov pomoci a zabezpečila dodržiavanie svojich politických cieľov a hodnôt v oblasti rozvojovej spolupráce; vyzýva na zavedenie účinných mechanizmov, ktoré umožnia dôkladne kontrolovať konečné určenie týchto finančných prostriedkov a posúdiť projekty, ktoré získali finančné prostriedky;</w:t>
      </w:r>
    </w:p>
    <w:p w:rsidR="00EF7A9D" w:rsidRPr="0063292F" w:rsidRDefault="00EF7A9D" w:rsidP="00EF7A9D">
      <w:pPr>
        <w:pStyle w:val="NormalHanging12a"/>
      </w:pPr>
      <w:r w:rsidRPr="0063292F">
        <w:t>6.</w:t>
      </w:r>
      <w:r w:rsidRPr="0063292F">
        <w:tab/>
        <w:t>zdôrazňuje, že dobrá správa vecí verejných je rozhodujúcim faktorom pre spravodlivé a primerané rozdeľovanie pomoci, a poukazuje na to, že dosiahnutie cieľov udržateľného rozvoja, a tým aj účinnosť fondov, do veľkej miery závisí od schopnosti partnerských krajín využívať finančné prostriedky spravodlivým a transparentným spôsobom;</w:t>
      </w:r>
    </w:p>
    <w:p w:rsidR="00EF7A9D" w:rsidRPr="0063292F" w:rsidRDefault="00EF7A9D" w:rsidP="00EF7A9D">
      <w:pPr>
        <w:pStyle w:val="NormalHanging12a"/>
      </w:pPr>
      <w:r w:rsidRPr="0063292F">
        <w:t>7.</w:t>
      </w:r>
      <w:r w:rsidRPr="0063292F">
        <w:tab/>
        <w:t xml:space="preserve">vyzýva EÚ, aby priamo spolupracovala s krajinami pôvodu a tranzitu, pokiaľ ide o migráciu, a aby s nimi budovala </w:t>
      </w:r>
      <w:proofErr w:type="spellStart"/>
      <w:r w:rsidRPr="0063292F">
        <w:t>inkluzívne</w:t>
      </w:r>
      <w:proofErr w:type="spellEnd"/>
      <w:r w:rsidRPr="0063292F">
        <w:t xml:space="preserve"> udržateľné partnerstvá, a to na základe osobitných potrieb každej krajiny a individuálnych okolností migrantov;</w:t>
      </w:r>
    </w:p>
    <w:p w:rsidR="00EF7A9D" w:rsidRPr="0063292F" w:rsidRDefault="00EF7A9D" w:rsidP="00EF7A9D">
      <w:pPr>
        <w:pStyle w:val="NormalHanging12a"/>
      </w:pPr>
      <w:r w:rsidRPr="0063292F">
        <w:t>8.</w:t>
      </w:r>
      <w:r w:rsidRPr="0063292F">
        <w:tab/>
        <w:t>zdôrazňuje, že zásady Globálneho partnerstva pre účinnú rozvojovú spoluprácu (</w:t>
      </w:r>
      <w:r w:rsidR="002879D7" w:rsidRPr="0063292F">
        <w:t>ďalej len „</w:t>
      </w:r>
      <w:r w:rsidRPr="0063292F">
        <w:t>GPEDC</w:t>
      </w:r>
      <w:r w:rsidR="002879D7" w:rsidRPr="0063292F">
        <w:t>“</w:t>
      </w:r>
      <w:r w:rsidRPr="0063292F">
        <w:t>) vychádzajú z dôležitých a trvalých skúseností získaných v rámci minulých rozvojových stratégií a postupov, medzi ktorými boli úspechy aj neúspechy, a že tieto zásady sú naďalej dôležitým prejavom mnohostrannej spolupráce a koordinácie, ktorú je EÚ odhodlaná presadzovať; vyzýva Komisiu, aby využila svoje členstvo v GPEDC a vo Výbore OECD pre rozvojovú pomoc a svoj hlas na medzinárodných fórach a v riadiacich štruktúrach medzinárodných finančných inštitúcií s cieľom ďalej posilniť zásady účinnosti a podporiť ich dodržiavanie a vykonávanie vo všetkých formách rozvojovej spolupráce a všetkými zapojenými aktérmi;</w:t>
      </w:r>
    </w:p>
    <w:p w:rsidR="00EF7A9D" w:rsidRPr="0063292F" w:rsidRDefault="00EF7A9D" w:rsidP="00EF7A9D">
      <w:pPr>
        <w:pStyle w:val="NormalHanging12a"/>
      </w:pPr>
      <w:r w:rsidRPr="0063292F">
        <w:t>9.</w:t>
      </w:r>
      <w:r w:rsidRPr="0063292F">
        <w:tab/>
        <w:t xml:space="preserve">uznáva, že účinnú rozvojovú spoluprácu nemožno dosiahnuť iba prostredníctvom spolupráce zo strany EÚ a že môže byť skutočne účinná len vtedy, ak budú spolupracovať všetci aktéri v oblasti rozvoja; vyjadruje znepokojenie nad tým, že keď iní aktéri nerešpektujú a neuplatňujú vo svojich programoch spolupráce zásady účinnosti, výsledná fragmentácia a obchádzanie systémov partnerských krajín celkovo znižuje účinnosť a vplyv pomoci ako </w:t>
      </w:r>
      <w:proofErr w:type="spellStart"/>
      <w:r w:rsidRPr="0063292F">
        <w:t>kolaterálu</w:t>
      </w:r>
      <w:proofErr w:type="spellEnd"/>
      <w:r w:rsidRPr="0063292F">
        <w:t xml:space="preserve"> vrátane pomoci EÚ;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10.</w:t>
      </w:r>
      <w:r w:rsidRPr="0063292F">
        <w:tab/>
        <w:t xml:space="preserve">vyzýva Komisiu, aby aspoň dvakrát ročne uverejňovala správu o pokroku v oblasti účinnosti pomoci, ktorá bude zahŕňať spoločné plánovanie, spoločné vykonávanie a spoločné rámce výsledkov, ako aj opatrenia inštitúcií EÚ, členských štátov a miestnych </w:t>
      </w:r>
      <w:r w:rsidRPr="0063292F">
        <w:lastRenderedPageBreak/>
        <w:t xml:space="preserve">a regionálnych orgánov; zdôrazňuje, že táto správa by mala vychádzať zo spoločne dohodnutých zámerov a politických cieľov, najmä z cieľov udržateľného rozvoja a z konsenzu; vyzýva Komisiu, aby pri vypracúvaní tejto správy konzultovala so zainteresovanými stranami a aby správu predložila </w:t>
      </w:r>
      <w:r w:rsidR="00671067" w:rsidRPr="0063292F">
        <w:t>Európskemu p</w:t>
      </w:r>
      <w:r w:rsidRPr="0063292F">
        <w:t>arlamentu;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11.</w:t>
      </w:r>
      <w:r w:rsidRPr="0063292F">
        <w:tab/>
        <w:t>vyzýva Komisiu a Radu, aby zintenzívnili spoločné plánovanie medzi EÚ a jej členskými štátmi; poukazuje na to, že na úrovni jednotlivých krajín musia EÚ a členské štáty ísť nad rámec jednoduchej konsolidácie existujúcich bilaterálnych rozvojových priorít a činností a vytvoriť jednotný spoločný európsky postoj k strategickým otázkam v politickom dialógu a dialógu o politikách s partnerskými krajinami, ktorý by mal v prípade potreby zohľadňovať aj regionálne integračné orgány ako partnerov EÚ, ako aj inovatívne metódy financovania, ako sú kombinované financovanie a záruky, ak sú účinné; požaduje jasné a vykonateľné záväzky, ktoré by zhodnotili predchádzajúce stratégie a postupy;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12.</w:t>
      </w:r>
      <w:r w:rsidRPr="0063292F">
        <w:tab/>
        <w:t>vyzýva Komisiu, aby zabezpečila, aby sa pravidelné stretnutia EÚ so zástupcami členských štátov, s vykonávacími agentúrami, medzinárodnými organizáciami, miestnymi a regionálnymi orgánmi a organizáciami občianskej spoločnosti konali na danom mieste v príslušných partnerských krajinách s cieľom identifikovať výzvy a príležitosti a aby následná spoločná reakcia a vykonávanie zodpovedali identifikovaným potrebám; poukazuje na to, že spoločné plánovanie pod vedením vedúcich misií sa ukázalo ako úspešné z hľadiska súdržnosti politík v rámci politických, obchodných, rozvojových a bezpečnostných stratégií; vyzýva tiež EÚ a jej členské štáty, aby sa zapojili do spoločného vykonávania a hodnotenia, a aby boli zavedené spoločné mechanizmy zodpovednosti voči občanom; vyzýva EÚ, aby spolupracovala s netradičnými darcami, ktorí môžu preukázať dodržiavanie zásad účinnosti pomoci;</w:t>
      </w:r>
    </w:p>
    <w:p w:rsidR="00EF7A9D" w:rsidRPr="0063292F" w:rsidRDefault="00EF7A9D" w:rsidP="00EF7A9D">
      <w:pPr>
        <w:pStyle w:val="NormalHanging12a"/>
      </w:pPr>
      <w:r w:rsidRPr="0063292F">
        <w:t>13.</w:t>
      </w:r>
      <w:r w:rsidRPr="0063292F">
        <w:tab/>
        <w:t>víta závery Rady z 8. júna 2020, v ktorých sa podčiarkuje, že je „dôležité, aby všetci aktéri zapojení do Tímu Európa koordinovali svoje činnosti a zapájali sa do informačného a komunikačného úsilia na úrovni krajiny, v rámci EÚ, v partnerských krajinách aj na globálnych a multilaterálnych fórach“; žiada Komisiu a členské štáty, aby v budúcnosti uplatňovali tento prístup v kontexte všetkých opatrení súvisiacich s rozvojom, programovania a vykonávania; opakuje svoje požiadavky z rokov 2013</w:t>
      </w:r>
      <w:r w:rsidRPr="0063292F">
        <w:rPr>
          <w:rStyle w:val="FootnoteReference"/>
        </w:rPr>
        <w:footnoteReference w:id="32"/>
      </w:r>
      <w:r w:rsidRPr="0063292F">
        <w:t xml:space="preserve"> a 2017</w:t>
      </w:r>
      <w:r w:rsidRPr="0063292F">
        <w:rPr>
          <w:rStyle w:val="FootnoteReference"/>
        </w:rPr>
        <w:footnoteReference w:id="33"/>
      </w:r>
      <w:r w:rsidRPr="0063292F">
        <w:t xml:space="preserve"> a žiada Komisiu, aby na základe článkov 209 a 210 ZFEÚ predložila návrh aktu o regulačných aspektoch koordinácie darcov EÚ v oblasti rozvojovej pomoci;</w:t>
      </w:r>
    </w:p>
    <w:p w:rsidR="00EF7A9D" w:rsidRPr="0063292F" w:rsidRDefault="00EF7A9D" w:rsidP="00EF7A9D">
      <w:pPr>
        <w:pStyle w:val="NormalHanging12a"/>
        <w:rPr>
          <w:sz w:val="22"/>
        </w:rPr>
      </w:pPr>
      <w:r w:rsidRPr="0063292F">
        <w:t>14.</w:t>
      </w:r>
      <w:r w:rsidRPr="0063292F">
        <w:tab/>
        <w:t xml:space="preserve">zdôrazňuje, že vzhľadom na budúce vykonávanie Nástroja susedstva a rozvojovej a medzinárodnej spolupráce (NDICI) by spoločné plánovanie a vykonávanie EÚ, jej členských štátov a partnerov EÚ v oblasti financovania rozvoja malo vychádzať zo zásad účinnosti pomoci; poukazuje na to, že je dôležité spoločne stanoviť strategické priority a identifikovať investičné potreby/nedostatky vo fáze pred plánovaním a následne preskúmať spôsoby, ako optimalizovať škálu postupov v rámci súboru nástrojov inštitúcií EÚ vrátane grantov, grantov na rozpočtovú podporu a úverov EIB, ako aj financovania členskými štátmi; v tejto súvislosti vyjadruje znepokojenie nad tým, že najmenej rozvinuté krajiny zaznamenávajú nárast viazanej pomoci, a opakuje, že </w:t>
      </w:r>
      <w:r w:rsidRPr="0063292F">
        <w:lastRenderedPageBreak/>
        <w:t>uvoľňovanie pomoci môže znížiť náklady o 15 až 30</w:t>
      </w:r>
      <w:r w:rsidR="00671067" w:rsidRPr="0063292F">
        <w:t> </w:t>
      </w:r>
      <w:r w:rsidRPr="0063292F">
        <w:t>%;</w:t>
      </w:r>
    </w:p>
    <w:p w:rsidR="00EF7A9D" w:rsidRPr="0063292F" w:rsidRDefault="00EF7A9D" w:rsidP="00EF7A9D">
      <w:pPr>
        <w:pStyle w:val="NormalHanging12a"/>
        <w:rPr>
          <w:sz w:val="22"/>
        </w:rPr>
      </w:pPr>
      <w:r w:rsidRPr="0063292F">
        <w:t>15.</w:t>
      </w:r>
      <w:r w:rsidRPr="0063292F">
        <w:tab/>
        <w:t>vyzýva Komisiu, aby zabezpečila, že plánovanie a vykonávanie týchto postupov bude koordinované, strategicky zosúladené s prioritami a procesmi partnerských krajín a zamerané na dosahovanie výsledkov a vplyvov, ktoré sú transformačné v záujme dosiahnutia cieľov udržateľného rozvoja v osobitnom kontexte každej partnerskej krajiny; zdôrazňuje, že je potrebné uľahčiť vytváranie trhov, ktoré sú sebestačné, a zabezpečiť, aby sa vo fáze pred plánovaním zohľadňovali osvedčené postupy vystúpenia; vyzýva Komisiu a členské štáty, aby urýchlili úsilie o uvoľnenie svojej oficiálnej rozvojovej pomoci v súlade so záväzkami konsenzu a aby nabádali všetkých poskytovateľov rozvojovej spolupráce vrátane rozvíjajúcich sa ekonomík, aby urobili to isté; nabáda na miestne obstarávanie a miestnu zodpovednosť;</w:t>
      </w:r>
    </w:p>
    <w:p w:rsidR="00EF7A9D" w:rsidRPr="0063292F" w:rsidRDefault="00EF7A9D" w:rsidP="00EF7A9D">
      <w:pPr>
        <w:pStyle w:val="NormalHanging12a"/>
      </w:pPr>
      <w:r w:rsidRPr="0063292F">
        <w:t>16.</w:t>
      </w:r>
      <w:r w:rsidRPr="0063292F">
        <w:tab/>
        <w:t xml:space="preserve">zdôrazňuje, že mandát </w:t>
      </w:r>
      <w:r w:rsidR="00DE0382" w:rsidRPr="0063292F">
        <w:t>Európskeho p</w:t>
      </w:r>
      <w:r w:rsidRPr="0063292F">
        <w:t xml:space="preserve">arlamentu týkajúci sa NDICI si vyžaduje ustanovenia na zlepšenie dodržiavania ľudských práv a environmentálnych a sociálnych predpisov finančnými subjektmi pri využívaní mechanizmov kombinovaných záruk prostredníctvom EFSD+ a záruky pre vonkajšiu činnosť (EAG); pripomína, že podľa pozície </w:t>
      </w:r>
      <w:r w:rsidR="00671067" w:rsidRPr="0063292F">
        <w:t>Európskeho p</w:t>
      </w:r>
      <w:r w:rsidRPr="0063292F">
        <w:t xml:space="preserve">arlamentu sa 45 % financovania prostredníctvom EFSD+ a EAG vyčlení na investície, ktoré prispievajú k dosahovaniu cieľov v oblasti klímy, environmentálneho riadenia a ochrany, biodiverzity a boja proti </w:t>
      </w:r>
      <w:proofErr w:type="spellStart"/>
      <w:r w:rsidRPr="0063292F">
        <w:t>dezertifikácii</w:t>
      </w:r>
      <w:proofErr w:type="spellEnd"/>
      <w:r w:rsidRPr="0063292F">
        <w:t>, pričom 30 % z celkového finančného rámca sa vyčlení na zmiernenie zmeny klímy a adaptáciu na ňu;</w:t>
      </w:r>
    </w:p>
    <w:p w:rsidR="00EF7A9D" w:rsidRPr="0063292F" w:rsidRDefault="00EF7A9D" w:rsidP="00EF7A9D">
      <w:pPr>
        <w:pStyle w:val="NormalHanging12a"/>
      </w:pPr>
      <w:r w:rsidRPr="0063292F">
        <w:t>17.</w:t>
      </w:r>
      <w:r w:rsidRPr="0063292F">
        <w:tab/>
        <w:t>poukazuje na to, že EÚ si stanovila ambiciózne ciele v oblasti životného prostredia a klímy, a vyzýva ju, aby prostredníctvom úzkej spolupráce podporovala partnerské krajiny s cieľom pomôcť im pri plnení ich vlastných cieľov a stratégií v oblasti klímy a životného prostredia, a to tak cieľov a stratégií, ktoré sú stanovené v zmluve, ako aj tých, ktoré si krajiny samy stanovili, keďže udržateľné využívanie ich vlastných zdrojov je základom hospodárstiev mnohých partnerských krajín a je nevyhnutné na dosiahnutie cieľov udržateľného rozvoja;</w:t>
      </w:r>
    </w:p>
    <w:p w:rsidR="00EF7A9D" w:rsidRPr="0063292F" w:rsidRDefault="00EF7A9D" w:rsidP="00EF7A9D">
      <w:pPr>
        <w:pStyle w:val="NormalHanging12a"/>
      </w:pPr>
      <w:r w:rsidRPr="0063292F">
        <w:t>18.</w:t>
      </w:r>
      <w:r w:rsidRPr="0063292F">
        <w:tab/>
        <w:t>vyzýva inštitúcie EÚ, členské štáty a ďalšie verejné a neštátne subjekty pôsobiace v oblasti rozvojovej spolupráce, aby sa podelili s dôkazmi a so skúsenosťami o tom, ktoré druhy rozvojových intervencií sú zvyčajne úspešné a ktoré neboli úspešné, ako aj pri ktorých sa ukázalo, že ich vykonávanie je náročné, alebo ktorými sa nedosiahol zamýšľaný dosah;</w:t>
      </w:r>
    </w:p>
    <w:p w:rsidR="00EF7A9D" w:rsidRPr="0063292F" w:rsidRDefault="00EF7A9D" w:rsidP="00EF7A9D">
      <w:pPr>
        <w:pStyle w:val="NormalHanging12a"/>
      </w:pPr>
      <w:r w:rsidRPr="0063292F">
        <w:t>19.</w:t>
      </w:r>
      <w:r w:rsidRPr="0063292F">
        <w:tab/>
        <w:t>víta nezávislú správu skupiny odborníkov na vysokej úrovni v oblasti európskej finančnej štruktúry pre rozvoj a vyzýva na vytvorenie Európskej banky pre investície a udržateľný rozvoj;</w:t>
      </w:r>
    </w:p>
    <w:p w:rsidR="00EF7A9D" w:rsidRPr="0063292F" w:rsidRDefault="00EF7A9D" w:rsidP="00EF7A9D">
      <w:pPr>
        <w:pStyle w:val="NormalHanging12a"/>
      </w:pPr>
      <w:r w:rsidRPr="0063292F">
        <w:t>20.</w:t>
      </w:r>
      <w:r w:rsidRPr="0063292F">
        <w:tab/>
        <w:t xml:space="preserve">zdôrazňuje, že zodpovednosť za všetky verejné výdavky vrátane oficiálnej rozvojovej pomoci má zásadný význam tak v Európe, ako aj v partnerských krajinách; domnieva sa, že zodpovednosť si vyžaduje silné inštitúcie a že na zabezpečenie nepretržitej verejnej podpory úsilia EÚ v oblasti rozvojovej spolupráce je nevyhnutne dôležité, aby mala európska ODA jasné a dohodnuté ciele; pripomína, že partnerstvá a spolupráca s občianskou spoločnosťou a mimovládnymi organizáciami môžu zlepšiť zodpovednosť vo verejných výdavkoch v súvislosti s oficiálnou rozvojovou pomocou; poukazuje na úlohu organizácií občianskej spoločnosti pri mobilizácii finančných prostriedkov potrebných na dosiahnutie cieľov udržateľného rozvoja; 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lastRenderedPageBreak/>
        <w:t>21.</w:t>
      </w:r>
      <w:r w:rsidRPr="0063292F">
        <w:tab/>
        <w:t xml:space="preserve">zdôrazňuje, že zodpovednosť si vyžaduje transparentné a spoľahlivé postupy, ako aj záujem o efektívnosť a dosiahnutie preukázateľných výsledkov, dôkladné </w:t>
      </w:r>
      <w:r w:rsidRPr="0063292F">
        <w:rPr>
          <w:i/>
        </w:rPr>
        <w:t xml:space="preserve">ex </w:t>
      </w:r>
      <w:proofErr w:type="spellStart"/>
      <w:r w:rsidRPr="0063292F">
        <w:rPr>
          <w:i/>
        </w:rPr>
        <w:t>ante</w:t>
      </w:r>
      <w:proofErr w:type="spellEnd"/>
      <w:r w:rsidRPr="0063292F">
        <w:t xml:space="preserve"> a </w:t>
      </w:r>
      <w:r w:rsidRPr="0063292F">
        <w:rPr>
          <w:i/>
        </w:rPr>
        <w:t>ex post</w:t>
      </w:r>
      <w:r w:rsidRPr="0063292F">
        <w:t xml:space="preserve"> hodnotenie a kritickú analýzu neúspechov, ako aj získavanie vedomostí o tom, ako dosahovať účinné a udržateľné výsledky; vyzýva preto Komisiu, aby koordinovala celoeurópsku štandardizáciu ukazovateľov vplyvu s cieľom porovnať účinnosť a efektívnosť projektov medzi členskými štátmi;</w:t>
      </w:r>
    </w:p>
    <w:p w:rsidR="00EF7A9D" w:rsidRPr="0063292F" w:rsidRDefault="00EF7A9D" w:rsidP="00EF7A9D">
      <w:pPr>
        <w:pStyle w:val="NormalHanging12a"/>
      </w:pPr>
      <w:r w:rsidRPr="0063292F">
        <w:t>22.</w:t>
      </w:r>
      <w:r w:rsidRPr="0063292F">
        <w:tab/>
        <w:t>nabáda parlamenty prijímajúcich krajín, aby prijali vnútroštátne politiky rozvojovej pomoci s cieľom zlepšiť zodpovednosť darcov a zodpovednosť prijímajúcich vlád vrátane miestnych orgánov, odstrániť korupciu a všetky formy plytvania pomocou a zlepšiť podmienky na získanie rozpočtovej podpory, ako aj v dlhodobom horizonte znížiť závislosť od pomoci;</w:t>
      </w:r>
    </w:p>
    <w:p w:rsidR="00EF7A9D" w:rsidRPr="0063292F" w:rsidRDefault="00EF7A9D" w:rsidP="00EF7A9D">
      <w:pPr>
        <w:pStyle w:val="NormalHanging12a"/>
      </w:pPr>
      <w:r w:rsidRPr="0063292F">
        <w:t>23.</w:t>
      </w:r>
      <w:r w:rsidRPr="0063292F">
        <w:tab/>
        <w:t>zdôrazňuje, že je dôležité, aby sa oficiálna rozvojová pomoc EÚ ešte viac zameriavala na znižovanie nerovností, na odstránenie chudoby a na to, aby sa na nikoho nezabudlo;</w:t>
      </w:r>
    </w:p>
    <w:p w:rsidR="00EF7A9D" w:rsidRPr="0063292F" w:rsidRDefault="00EF7A9D" w:rsidP="00EF7A9D">
      <w:pPr>
        <w:pStyle w:val="NormalHanging12a"/>
      </w:pPr>
      <w:r w:rsidRPr="0063292F">
        <w:t>24.</w:t>
      </w:r>
      <w:r w:rsidRPr="0063292F">
        <w:tab/>
        <w:t>zdôrazňuje, že účinná a efektívna pomoc stratégiám vedeným na úrovni krajín a rozvoju kapacít vedie k zníženiu detskej úmrtnosti a že investovanie do dobrých životných podmienok detí má zásadný význam pre prelomenie kruhu chudoby vrátane boja proti nútenej práci a práci neplnoletých;</w:t>
      </w:r>
    </w:p>
    <w:p w:rsidR="00EF7A9D" w:rsidRPr="0063292F" w:rsidRDefault="00EF7A9D" w:rsidP="00EF7A9D">
      <w:pPr>
        <w:pStyle w:val="NormalHanging12a"/>
        <w:rPr>
          <w:sz w:val="22"/>
        </w:rPr>
      </w:pPr>
      <w:r w:rsidRPr="0063292F">
        <w:t>25.</w:t>
      </w:r>
      <w:r w:rsidRPr="0063292F">
        <w:tab/>
        <w:t>domnieva sa, že uplatňovanie prístupov založených na výsledkoch je pre partnerské krajiny EÚ rozhodujúce a že je základným prvkom ich schopnosti plniť ciele udržateľného rozvoja v prospech ich občanov; poukazuje však na to, že je dôležité zohľadniť rôznorodosť osobitných situácií a výziev partnerských krajín, najmä najmenej rozvinutých a nestabilných krajín; vyzýva EÚ a jej členské štáty, aby podporovali a využívali vnútroštátne rámce partnerských krajín na meranie výsledkov a ich systémy monitorovania a štatistické systémy a aby počas všetkých fáz zapojili všetkých príslušných aktérov: miestne orgány, národné parlamenty, občiansku spoločnosť vrátane ženských združení a marginalizovaných skupín a súkromný sektor so zameraním na MSP; zdôrazňuje, že investície do budovania kapacít miestnych organizácií občianskej spoločnosti sú nevyhnutným predpokladom účinnej pomoci;</w:t>
      </w:r>
    </w:p>
    <w:p w:rsidR="00EF7A9D" w:rsidRPr="0063292F" w:rsidRDefault="00EF7A9D" w:rsidP="00EF7A9D">
      <w:pPr>
        <w:pStyle w:val="NormalHanging12a"/>
      </w:pPr>
      <w:r w:rsidRPr="0063292F">
        <w:t>26.</w:t>
      </w:r>
      <w:r w:rsidRPr="0063292F">
        <w:tab/>
        <w:t>poznamenáva, že v niektorých oblastiach je ťažké merať efektívnosť a účinnosť rozvojovej pomoci, ale vyzýva Komisiu, aby preskúmala vhodné ukazovatele na posúdenie a využila výsledky na prípravu informácií o efektívnosti a účinnosti rozvojovej pomoci pre jednotlivé krajiny a na vypracovanie prístupov založených na najlepších postupoch;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27.</w:t>
      </w:r>
      <w:r w:rsidRPr="0063292F">
        <w:tab/>
        <w:t>vyzýva EÚ a jej členské štáty, aby posilnili svoj záväzok týkajúci sa transparentného toku údajov prostredníctvom nepretržitého investovania do vizualizácie údajov, štatistického vykazovania a zverejňovania otvorených údajov a uplatňovania medzinárodných noriem, ako je napríklad IATI (norma Iniciatívy za transparentnosť poskytovania medzinárodnej pomoci), a pravidelným aktualizovaním a rozvojom nástroja EU Aid Explorer; nabáda na zintenzívnenie úsilia na úrovni EÚ s cieľom zabezpečiť prístup verejnosti k údajom o vynakladaní rozvojovej pomoci EÚ a ich šírenie a podávanie príslušných správ; v tejto súvislosti opakuje, že Komisia by mala pred začatím postupu udelenia absolutória za daný rok uverejniť výročnú správu o vykonávaní nástrojov Európskej únie na financovanie vonkajšej činnosti;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28.</w:t>
      </w:r>
      <w:r w:rsidRPr="0063292F">
        <w:tab/>
        <w:t xml:space="preserve">zdôrazňuje, že rodová rovnosť je pre udržateľný rozvoj nevyhnutná a že pokrok </w:t>
      </w:r>
      <w:r w:rsidRPr="0063292F">
        <w:lastRenderedPageBreak/>
        <w:t>dosiahnutý v boji proti diskriminácii a násiliu páchanému na ženách a dievčatách v partnerských krajinách by sa mal považovať za základný aspekt účinnosti pomoci; pripomína, že rozvojová spolupráca môže mať rôzny vplyv na dievčatá a chlapcov a na ženy a mužov;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29.</w:t>
      </w:r>
      <w:r w:rsidRPr="0063292F">
        <w:tab/>
        <w:t>naliehavo vyzýva Komisiu a členské štáty, ako aj všetkých rozvojových partnerov, aby uprednostnili rodovú rovnosť intenzívnejším využívaním uplatňovania hľadiska rodovej rovnosti, rodového rozpočtovania a rodového zacielenia; okrem toho zdôrazňuje potrebu zhromažďovať porovnateľné a rodovo rozčlenené údaje s cieľom presadzovať komplexný a harmonizovaný prístup k podávaniu správ EÚ o rodových cieľoch a podporovať ženy, aby sa stali schopnými aktérmi rozvoja vo svojich komunitách i mimo nich;</w:t>
      </w:r>
    </w:p>
    <w:p w:rsidR="00EF7A9D" w:rsidRPr="0063292F" w:rsidRDefault="00EF7A9D" w:rsidP="00EF7A9D">
      <w:pPr>
        <w:pStyle w:val="NormalHanging12a"/>
      </w:pPr>
      <w:r w:rsidRPr="0063292F">
        <w:t>30.</w:t>
      </w:r>
      <w:r w:rsidRPr="0063292F">
        <w:tab/>
        <w:t>vyzýva EÚ a jej členské štáty, aby zlepšili zosúladenie svojej pomoci so zásadami účinnosti a súvisiacimi ukazovateľmi, najmä s predvídateľnosťou, s využívaním ukazovateľov vychádzajúcich z rámcov výsledkov partnerských krajín, s využívaním systémov hospodárenia s verejnými financiami partnerských krajín a so záväzkom zapojiť partnerské vlády do hodnotení projektov, ako aj transparentného podávania správ;</w:t>
      </w:r>
    </w:p>
    <w:p w:rsidR="00EF7A9D" w:rsidRPr="0063292F" w:rsidRDefault="00EF7A9D" w:rsidP="00EF7A9D">
      <w:pPr>
        <w:pStyle w:val="NormalHanging12a"/>
      </w:pPr>
      <w:r w:rsidRPr="0063292F">
        <w:t>31.</w:t>
      </w:r>
      <w:r w:rsidRPr="0063292F">
        <w:tab/>
        <w:t>vyzýva členské štáty, aby vo väčšej miere zefektívnili svoju pomoc v súlade so spoločnými cieľmi európskej pomoci s cieľom zlepšiť účinnosť rozvojovej politiky EÚ ako celku;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32.</w:t>
      </w:r>
      <w:r w:rsidRPr="0063292F">
        <w:tab/>
        <w:t>podporuje katalytický a prierezový prístup založený na decentralizovanom posudzovaní potrieb a programovaní zdola nahor, ktorý podporuje miestnu zodpovednosť a je založený na dôkladnej analýze situácie a konzultáciách s občianskou spoločnosťou a inými zainteresovanými stranami v každej partnerskej krajine v úzkej spolupráci s miestnymi komunitami a organizáciami;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33.</w:t>
      </w:r>
      <w:r w:rsidRPr="0063292F">
        <w:tab/>
        <w:t>podporuje posilnenie spolupráce juh – juh a trojstrannej spolupráce, a to aj v prípade projektov zameraných na účinnejšiu regionálnu spoluprácu a integráciu, ako aj účinnejšie zapojenie najvzdialenejších regiónov a zámorských krajín a území do vykonávania európskej rozvojovej spolupráce vo svojich príslušných geografických oblastiach na všetkých úrovniach riadenia s cieľom podporiť dosiahnutie cieľov udržateľného rozvoja a zotavenie sa z pandémie COVID-19; zdôrazňuje, že ak je to relevantné, mali by sa zapojiť kapacity krajín so stredným príjmom vrátane krajín, ktoré boli nedávno vyňaté zo zoznamu príjemcov oficiálnej rozvojovej pomoci Výboru OECD pre rozvojovú pomoc;</w:t>
      </w:r>
    </w:p>
    <w:p w:rsidR="00EF7A9D" w:rsidRPr="0063292F" w:rsidRDefault="00EF7A9D" w:rsidP="00EF7A9D">
      <w:pPr>
        <w:pStyle w:val="NormalHanging12a"/>
      </w:pPr>
      <w:r w:rsidRPr="0063292F">
        <w:t>34.</w:t>
      </w:r>
      <w:r w:rsidRPr="0063292F">
        <w:tab/>
        <w:t>zdôrazňuje, že na zefektívnenie rozvojovej pomoci, dosiahnutie dlhodobých výsledkov a riešenie miestnych potrieb, najmä v dlhotrvajúcom krízovom a pokrízovom prostredí, je nevyhnutné zlepšiť koordináciu humanitárnej pomoci a rozvojovej pomoci a posilniť prepojenie humanitárnej pomoci a rozvoja a jej prepojenie s opatreniami týkajúcimi sa mieru a bezpečnosti v rozvojových krajinách; vyzýva EÚ, aby ďalej rozvíjala takýto prístup;</w:t>
      </w:r>
    </w:p>
    <w:p w:rsidR="00EF7A9D" w:rsidRPr="0063292F" w:rsidRDefault="00EF7A9D" w:rsidP="00EF7A9D">
      <w:pPr>
        <w:pStyle w:val="NormalHanging12a"/>
      </w:pPr>
      <w:r w:rsidRPr="0063292F">
        <w:t>35.</w:t>
      </w:r>
      <w:r w:rsidRPr="0063292F">
        <w:tab/>
        <w:t>uznáva hodnotu predvídateľného a pružného financovania vrátane viacročného humanitárneho financovania pre dlhotrvajúce krízy a programov rozvojovej pomoci, ktoré sú schopné prispôsobiť sa nepredvídaným humanitárnym krízam;</w:t>
      </w:r>
    </w:p>
    <w:p w:rsidR="00EF7A9D" w:rsidRPr="0063292F" w:rsidRDefault="00EF7A9D" w:rsidP="00EF7A9D">
      <w:pPr>
        <w:pStyle w:val="NormalHanging12a"/>
      </w:pPr>
      <w:r w:rsidRPr="0063292F">
        <w:lastRenderedPageBreak/>
        <w:t>36.</w:t>
      </w:r>
      <w:r w:rsidRPr="0063292F">
        <w:tab/>
        <w:t>zdôrazňuje, že je dôležité posilniť organizácie občianskej spoločnosti v ich úlohe nezávislých aktérov v oblasti rozvoja; zdôrazňuje, že priaznivé a otvorené prostredie pre organizácie občianskej spoločnosti je v súlade s medzinárodne dohodnutými právami a maximalizuje prínos organizácií občianskej spoločnosti k rozvoju; vyjadruje znepokojenie nad zmenšujúcim sa priestorom pre organizácie občianskej spoločnosti v mnohých partnerských krajinách; vyzýva Komisiu, aby zlepšila dostupnosť finančných prostriedkov pre organizácie občianskej spoločnosti, a to aj v partnerských krajinách;</w:t>
      </w:r>
    </w:p>
    <w:p w:rsidR="00EF7A9D" w:rsidRPr="0063292F" w:rsidRDefault="00EF7A9D" w:rsidP="00EF7A9D">
      <w:pPr>
        <w:pStyle w:val="NormalHanging12a"/>
      </w:pPr>
      <w:r w:rsidRPr="0063292F">
        <w:t>37.</w:t>
      </w:r>
      <w:r w:rsidRPr="0063292F">
        <w:tab/>
        <w:t>zdôrazňuje význam vykonávania výmeny najlepších postupov a koordinácie politík a opatrení a spolupráce medzi EÚ a ostatnými aktérmi, napr. OSN a jej agentúrami, ktoré poskytujú pomoc v partnerských krajinách; zdôrazňuje, že je to ešte dôležitejšie v nestabilných partnerských krajinách, v krajinách, ktoré sú postihnuté konfliktmi alebo prírodnými katastrofami, a v krajinách prijímajúcich utečencov; v tejto súvislosti považuje za nevyhnutné, aby odolnosť komunít nadobudla centrálny význam a aby sa podporovali opatrenia zamerané na rozvoj programov zohľadňujúcich riziko a programov odbornej prípravy pre núdzové situácie, zapojenie komunít a podporu partnerstiev;</w:t>
      </w:r>
    </w:p>
    <w:p w:rsidR="00EF7A9D" w:rsidRPr="0063292F" w:rsidRDefault="00EF7A9D" w:rsidP="00EF7A9D">
      <w:pPr>
        <w:pStyle w:val="NormalHanging12a"/>
        <w:rPr>
          <w:sz w:val="22"/>
        </w:rPr>
      </w:pPr>
      <w:r w:rsidRPr="0063292F">
        <w:t>38.</w:t>
      </w:r>
      <w:r w:rsidRPr="0063292F">
        <w:tab/>
        <w:t>vyzýva Komisiu a členské štáty, aby posilnili spoluprácu s miestnymi orgánmi v partnerských krajinách, ale aj v rámci EÚ; žiada, aby sa rozpočtová podpora ako spôsob pomoci mohla využívať aj na nižšej ako celoštátnej úrovni a aby sa vytvorili mechanizmy prerozdeľovania medzi rôznymi úrovňami verejnej správy a naprieč regiónmi s prvoradým cieľom znížiť rozdiely a nerovnosti v rámci krajiny a zabezpečiť, aby sa na nikoho nezabudlo;</w:t>
      </w:r>
    </w:p>
    <w:p w:rsidR="00EF7A9D" w:rsidRPr="0063292F" w:rsidRDefault="00EF7A9D" w:rsidP="00EF7A9D">
      <w:pPr>
        <w:pStyle w:val="NormalHanging12a"/>
      </w:pPr>
      <w:r w:rsidRPr="0063292F">
        <w:t>39.</w:t>
      </w:r>
      <w:r w:rsidRPr="0063292F">
        <w:tab/>
        <w:t>zdôrazňuje úlohu cirkevných a misijných organizácií v oblasti humanitárnej a rozvojovej pomoci a ich význam na danom mieste, keďže patria medzi najväčšie mimovládne organizácie pôsobiace v oblasti rozvoja a pomoci; zdôrazňuje skutočnosť, že spolupráca s náboženskými vodcami v mnohých miestnych komunitách v rozvojových krajinách je často najúčinnejším spôsobom, ako osloviť miestnych ľudí v núdzi;</w:t>
      </w:r>
    </w:p>
    <w:p w:rsidR="00EF7A9D" w:rsidRPr="0063292F" w:rsidRDefault="00EF7A9D" w:rsidP="00EF7A9D">
      <w:pPr>
        <w:pStyle w:val="NormalHanging12a"/>
      </w:pPr>
      <w:r w:rsidRPr="0063292F">
        <w:t>40.</w:t>
      </w:r>
      <w:r w:rsidRPr="0063292F">
        <w:tab/>
        <w:t xml:space="preserve">uznáva zásadnú úlohu občianskej spoločnosti ako partnera, a to počas konzultačného procesu a aj ako poskytovateľa služieb; v tejto súvislosti vyzýva Komisiu a členské štáty, aby uznali a posilnili tieto úlohy s cieľom dosiahnuť </w:t>
      </w:r>
      <w:proofErr w:type="spellStart"/>
      <w:r w:rsidRPr="0063292F">
        <w:t>inkluzívne</w:t>
      </w:r>
      <w:proofErr w:type="spellEnd"/>
      <w:r w:rsidRPr="0063292F">
        <w:t xml:space="preserve"> rozvojové partnerstvá;</w:t>
      </w:r>
    </w:p>
    <w:p w:rsidR="00EF7A9D" w:rsidRPr="0063292F" w:rsidRDefault="00EF7A9D" w:rsidP="00EF7A9D">
      <w:pPr>
        <w:pStyle w:val="NormalHanging12a"/>
      </w:pPr>
      <w:r w:rsidRPr="0063292F">
        <w:t>41.</w:t>
      </w:r>
      <w:r w:rsidRPr="0063292F">
        <w:tab/>
        <w:t>žiada, aby sa väčší dôraz kládol na miestne MSP, drobných poľnohospodárov a posilnenie postavenia žien, keďže tento prístup sa ukázal ako mimoriadne účinný pri znižovaní chudoby a nerovnosti a pri posilňovaní občianskej spoločnosti a komunít;</w:t>
      </w:r>
    </w:p>
    <w:p w:rsidR="00EF7A9D" w:rsidRPr="0063292F" w:rsidRDefault="00EF7A9D" w:rsidP="00EF7A9D">
      <w:pPr>
        <w:pStyle w:val="NormalHanging12a"/>
        <w:rPr>
          <w:sz w:val="22"/>
        </w:rPr>
      </w:pPr>
      <w:r w:rsidRPr="0063292F">
        <w:t>42.</w:t>
      </w:r>
      <w:r w:rsidRPr="0063292F">
        <w:tab/>
        <w:t xml:space="preserve">uznáva, že zapojenie súkromného sektora – na miestnej, celoštátnej, bilaterálnej a medzinárodnej úrovni – má význam pri dosahovaní cieľov udržateľného rozvoja, pri mobilizácii ďalších finančných prostriedkov na rozvoj a pri prechode na udržateľný hospodársky rozvoj, rast a prosperitu; 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43.</w:t>
      </w:r>
      <w:r w:rsidRPr="0063292F">
        <w:tab/>
        <w:t xml:space="preserve">vyzýva na úsilie o zabezpečenie súladu súkromného sektora s rozvojovými prioritami národných vlád a občianskej spoločnosti v rozvojových krajinách a s potrebami miestneho obyvateľstva, najmä marginalizovaných a zraniteľných skupín, a o zosúladenie zapojenia súkromného sektora do rozvojovej spolupráce so zásadami účinnosti a so zásadami z Kampaly pri súčasnom zlepšovaní transparentnosti, </w:t>
      </w:r>
      <w:r w:rsidRPr="0063292F">
        <w:lastRenderedPageBreak/>
        <w:t>monitorovania a hodnotenia a zodpovednosti priamych zahraničných investícií a globálnych hodnotových reťazcov, ako aj dodržiavania ľudských práv a zásad náležitej starostlivosti;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44.</w:t>
      </w:r>
      <w:r w:rsidRPr="0063292F">
        <w:tab/>
        <w:t>vyzýva, aby európske inštitúcie a orgány vypracovali jasný, štruktúrovaný, transparentný a zodpovedný rámec, ktorým sa budú riadiť partnerstvá a zväzky so súkromným sektorom v rozvojových krajinách, a zdôrazňuje, že súbežne s posilnením úlohy súkromného sektora je dôležité vytvoriť inštitucionálne kapacity;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45.</w:t>
      </w:r>
      <w:r w:rsidRPr="0063292F">
        <w:tab/>
        <w:t xml:space="preserve">zdôrazňuje, že všetci aktéri vrátane súkromného sektora musia prispievať k programu účinnosti prostredníctvom </w:t>
      </w:r>
      <w:proofErr w:type="spellStart"/>
      <w:r w:rsidRPr="0063292F">
        <w:t>participatívneho</w:t>
      </w:r>
      <w:proofErr w:type="spellEnd"/>
      <w:r w:rsidRPr="0063292F">
        <w:t xml:space="preserve"> zapojenia, plánovania a vykonávania, vzájomnej zodpovednosti a transparentnosti, monitorovania a hodnotenia; zdôrazňuje, že darcovia by mali zlepšiť svoju predvídateľnosť a rýchlosť pri práci s týmito aktérmi ako implementujúcimi partnermi a partnermi poskytujúcimi základné služby, aby sa skutočne dostali k najzraniteľnejším skupinám obyvateľstva;</w:t>
      </w:r>
    </w:p>
    <w:p w:rsidR="00EF7A9D" w:rsidRPr="0063292F" w:rsidRDefault="00EF7A9D" w:rsidP="00EF7A9D">
      <w:pPr>
        <w:pStyle w:val="NormalHanging12a"/>
      </w:pPr>
      <w:r w:rsidRPr="0063292F">
        <w:t>46.</w:t>
      </w:r>
      <w:r w:rsidRPr="0063292F">
        <w:tab/>
        <w:t>vyzýva Komisiu a členské štáty, aby zabezpečili, že aktéri zo súkromného sektora zapojení do rozvojových partnerstiev budú dodržiavať zásadu zodpovednosti podnikov v oblasti ľudských práv a životného prostredia v priebehu celého životného cyklu projektov, a to v súlade s globálnym paktom OSN o ľudských právach, s hlavnými zásadami OSN v oblasti podnikania a ľudských práv, so základnými pracovnými normami MOP a s Dohovorom Organizácie Spojených národov proti korupcii; opakuje svoju výzvu na vytvorenie právneho rámca EÚ na podporu povinnej náležitej starostlivosti podnikov s cieľom zabezpečiť, aby investori EÚ konali zodpovedne na medzinárodnej a miestnej úrovni a prispievali k miestnemu rozvoju v rozvojových krajinách;</w:t>
      </w:r>
    </w:p>
    <w:p w:rsidR="00EF7A9D" w:rsidRPr="0063292F" w:rsidRDefault="00EF7A9D" w:rsidP="00EF7A9D">
      <w:pPr>
        <w:pStyle w:val="NormalHanging12a"/>
      </w:pPr>
      <w:r w:rsidRPr="0063292F">
        <w:t>47.</w:t>
      </w:r>
      <w:r w:rsidRPr="0063292F">
        <w:tab/>
        <w:t>opätovne zdôrazňuje, že pri poskytovaní súkromnej pomoci v oblasti rozvoja sa musia dodržiavať hlavné zásady OSN v oblasti podnikania a ľudských práv, normy MOP a usmernenia OECD pre nadnárodné podniky; ďalej zdôrazňuje, že sa pritom musí prijať záväzok k zabezpečeniu dobrej správy vecí verejných, znižovaniu chudoby a vytváraniu bohatstva prostredníctvom udržateľných investícií, ako aj k znižovaniu nerovností, podpore ľudských práv a environmentálnych noriem a posilňovaniu postavenia miestnych hospodárstiev;</w:t>
      </w:r>
    </w:p>
    <w:p w:rsidR="00EF7A9D" w:rsidRPr="0063292F" w:rsidRDefault="00EF7A9D" w:rsidP="00EF7A9D">
      <w:pPr>
        <w:pStyle w:val="NormalHanging12a"/>
      </w:pPr>
      <w:r w:rsidRPr="0063292F">
        <w:t>48.</w:t>
      </w:r>
      <w:r w:rsidRPr="0063292F">
        <w:tab/>
        <w:t>zdôrazňuje, že s cieľom odkloniť sa od dynamiky darcov a príjemcov a posilniť zodpovednosť partnerských krajín za rozvojové priority, a tak dosiahnuť udržateľný rozvoj, musia rámce EÚ pre stratégiu rozvoja predvídať konkrétne opatrenia na podporu zvýšenej mobilizácie domácich zdrojov v partnerských krajinách, ako je podpora boja proti korupcii a rozvoj progresívnych daňových systémov, ako aj boj proti vyhýbaniu sa daňovým povinnostiam a daňovým únikom;</w:t>
      </w:r>
    </w:p>
    <w:p w:rsidR="00EF7A9D" w:rsidRPr="0063292F" w:rsidRDefault="00EF7A9D" w:rsidP="00EF7A9D">
      <w:pPr>
        <w:pStyle w:val="NormalHanging12a"/>
      </w:pPr>
      <w:r w:rsidRPr="0063292F">
        <w:t>49.</w:t>
      </w:r>
      <w:r w:rsidRPr="0063292F">
        <w:tab/>
        <w:t>víta, že EÚ na odstránenie chudoby a dosiahnutie cieľov udržateľného rozvoja využíva rôzne nástroje financovania rozvoja; zdôrazňuje, že je potrebné, aby darcovia uprednostnili financovanie na základe grantov, najmä pre najmenej rozvinuté krajiny, v situácii, keď chudobnejšie krajiny už pred vypuknutím pandémie COVID-19 míňali viac peňazí na splátky dlhovej služby než na zdravotnícke služby;</w:t>
      </w:r>
    </w:p>
    <w:p w:rsidR="00EF7A9D" w:rsidRPr="0063292F" w:rsidRDefault="00EF7A9D" w:rsidP="00EF7A9D">
      <w:pPr>
        <w:pStyle w:val="NormalHanging12a"/>
      </w:pPr>
      <w:r w:rsidRPr="0063292F">
        <w:t>50.</w:t>
      </w:r>
      <w:r w:rsidRPr="0063292F">
        <w:tab/>
        <w:t xml:space="preserve">poznamenáva, že Komisia predpokladá čoraz významnejšiu úlohu mechanizmov kombinovania záruk v rozvojovej politike EÚ na úkor iných spôsobov pomoci; zdôrazňuje, že hoci kombinované financovanie rýchlo rastie, existuje málo dôkazov o </w:t>
      </w:r>
      <w:r w:rsidRPr="0063292F">
        <w:lastRenderedPageBreak/>
        <w:t>jeho vplyve na rozvoj, keďže väčšina z neho v súčasnosti smeruje do krajín so strednými príjmami, pričom len malá časť smeruje do najmenej rozvinutých krajín; zdôrazňuje kritické stanovisko Európskeho dvora audítorov k riadeniu a účinnosti vykonávania Európskeho fondu pre trvalo udržateľný rozvoj (EFSD) Komisiou; vyzýva preto EÚ a jej členské štáty, aby zaujali opatrný prístup ku kombinovanému financovaniu a zabezpečili, aby všetky finančné prostriedky mobilizované prostredníctvom kombinovaného financovania boli v súlade so zásadami účinnosti rozvoja;</w:t>
      </w:r>
    </w:p>
    <w:p w:rsidR="00EF7A9D" w:rsidRPr="0063292F" w:rsidRDefault="00EF7A9D" w:rsidP="00EF7A9D">
      <w:pPr>
        <w:pStyle w:val="NormalHanging12a"/>
      </w:pPr>
      <w:r w:rsidRPr="0063292F">
        <w:t>51.</w:t>
      </w:r>
      <w:r w:rsidRPr="0063292F">
        <w:tab/>
        <w:t xml:space="preserve">nabáda EÚ, aby pokračovala vo svojom úsilí o podporu partnerských krajín pri zavádzaní inteligentných, cielených a prispôsobivých politík, ktoré môžu pomôcť dosiahnuť ciele udržateľného rozvoja čo najúčinnejším spôsobom; v tejto súvislosti pripomína kľúčovú úlohu výskumu a vývoja pri podpore inovácií a podnikania s pozitívnymi účinkami presahovania do všetkých odvetví miestneho hospodárstva; vyzýva preto Komisiu a členské štáty, aby posilnili spoluprácu v oblasti výskumu a vývoja a posilnili investície do strategických miestnych výrobných kapacít, najmä v oblasti zdravia, a to aj v prípade najnovších </w:t>
      </w:r>
      <w:proofErr w:type="spellStart"/>
      <w:r w:rsidRPr="0063292F">
        <w:t>biofarmaceutických</w:t>
      </w:r>
      <w:proofErr w:type="spellEnd"/>
      <w:r w:rsidRPr="0063292F">
        <w:t xml:space="preserve"> výrobkov, s cieľom zvýšiť nezávislosť od globálnych dodávateľských reťazcov;</w:t>
      </w:r>
    </w:p>
    <w:p w:rsidR="00EF7A9D" w:rsidRPr="0063292F" w:rsidRDefault="00EF7A9D" w:rsidP="00EF7A9D">
      <w:pPr>
        <w:pStyle w:val="NormalHanging12a"/>
      </w:pPr>
      <w:r w:rsidRPr="0063292F">
        <w:t>52.</w:t>
      </w:r>
      <w:r w:rsidRPr="0063292F">
        <w:tab/>
        <w:t>zdôrazňuje dôležitú úlohu organizácií občianskej spoločnosti pri identifikovaní potrieb a poskytovaní rozvojovej pomoci priamo chudobným, znevýhodneným a zraniteľným skupinám; vyzýva však na lepšiu koordináciu pomoci distribuovanej medzi MVO a iných darcov s cieľom zabezpečiť predvídateľnosť pomoci a zabrániť fragmentácii pomoci, prekrývajúcim sa opatreniam a tzv. sirotám rozvojovej pomoci (krajiny, ktoré rozvojové spoločenstvo ponecháva bez povšimnutia);</w:t>
      </w:r>
    </w:p>
    <w:p w:rsidR="00EF7A9D" w:rsidRPr="0063292F" w:rsidRDefault="00EF7A9D" w:rsidP="00EF7A9D">
      <w:pPr>
        <w:pStyle w:val="NormalHanging12a"/>
      </w:pPr>
      <w:r w:rsidRPr="0063292F">
        <w:t>53.</w:t>
      </w:r>
      <w:r w:rsidRPr="0063292F">
        <w:tab/>
        <w:t>vyzýva Komisiu, aby opätovne posúdila, či sú administratívne povinnosti týkajúce sa prístupu k finančným prostriedkom EÚ primerané; v tejto súvislosti vyjadruje poľutovanie nad tým, že granty EÚ sú pre MVO čoraz neadekvátnejšie a neatraktívnejšie vzhľadom na požiadavky na obmedzenie nákladov na podporu a zvýšenie administratívneho a audítorského zaťaženia;</w:t>
      </w:r>
    </w:p>
    <w:p w:rsidR="00EF7A9D" w:rsidRPr="0063292F" w:rsidRDefault="00EF7A9D" w:rsidP="00EF7A9D">
      <w:pPr>
        <w:pStyle w:val="NormalHanging12a"/>
      </w:pPr>
      <w:r w:rsidRPr="0063292F">
        <w:t>54.</w:t>
      </w:r>
      <w:r w:rsidRPr="0063292F">
        <w:tab/>
        <w:t>vyzýva Komisiu, aby na realizáciu projektov menšieho rozsahu vytvorila sieť spoľahlivých mimovládnych partnerov, ako sú miestne organizácie občianskej spoločnosti, cirkvi, náboženské organizácie a špecializované agentúry členských štátov, a aby s týmito partnermi spolupracovala;</w:t>
      </w:r>
    </w:p>
    <w:p w:rsidR="00EF7A9D" w:rsidRPr="0063292F" w:rsidRDefault="00EF7A9D" w:rsidP="00EF7A9D">
      <w:pPr>
        <w:pStyle w:val="NormalHanging12a"/>
      </w:pPr>
      <w:r w:rsidRPr="0063292F">
        <w:t>55.</w:t>
      </w:r>
      <w:r w:rsidRPr="0063292F">
        <w:tab/>
        <w:t>opätovne potvrdzuje, že investície do miestnej a vnútroštátnej infraštruktúry rôzneho rozsahu pre kľúčové miestne a národné projekty predstavujú najúčinnejší spôsob pomoci na stimuláciu a posilnenie hospodárskeho a sociálneho rozvoja pre všetkých obyvateľov;</w:t>
      </w:r>
    </w:p>
    <w:p w:rsidR="00EF7A9D" w:rsidRPr="0063292F" w:rsidRDefault="00EF7A9D" w:rsidP="00EF7A9D">
      <w:pPr>
        <w:pStyle w:val="NormalHanging12a"/>
      </w:pPr>
      <w:r w:rsidRPr="0063292F">
        <w:t>56.</w:t>
      </w:r>
      <w:r w:rsidRPr="0063292F">
        <w:tab/>
        <w:t>zdôrazňuje potrebu prepojiť opatrenia na odpustenie dlhu s ďalšou mobilizáciou oficiálnej rozvojovej pomoci (ODA); vyzýva na začlenenie multilaterálneho a obchodného dlhu do iniciatívy krajín G20 týkajúcej sa pozastavenia dlhovej služby (DSSI); zdôrazňuje potrebu zabezpečiť účasť všetkých veriteľov vrátane Svetovej banky a iných multilaterálnych rozvojových bánk, ako aj súkromných veriteľov, v DSSI a vo všetkých ďalších ponukách na odpustenie dlhu; vyzýva na vytvorenie multilaterálneho mechanizmu riešenia dlhov s cieľom zaoberať sa vplyvom krízy COVID-19 a finančnými požiadavkami Agendy 2030;</w:t>
      </w:r>
    </w:p>
    <w:p w:rsidR="00EF7A9D" w:rsidRPr="0063292F" w:rsidRDefault="00EF7A9D" w:rsidP="00EF7A9D">
      <w:pPr>
        <w:pStyle w:val="NormalHanging12a"/>
      </w:pPr>
      <w:r w:rsidRPr="0063292F">
        <w:lastRenderedPageBreak/>
        <w:t>57.</w:t>
      </w:r>
      <w:r w:rsidRPr="0063292F">
        <w:tab/>
        <w:t>zdôrazňuje mimoriadne dôležitú úlohu programov odbornej prípravy pre miestnych zamestnancov a prevádzkovateľov v teréne pri zabezpečovaní kontinuity projektov podporovaných zo strany EÚ v partnerských krajinách, čím sa zvyšuje zodpovednosť;</w:t>
      </w:r>
    </w:p>
    <w:p w:rsidR="00EF7A9D" w:rsidRPr="0063292F" w:rsidRDefault="00EF7A9D" w:rsidP="00EF7A9D">
      <w:pPr>
        <w:pStyle w:val="NormalHanging12a"/>
      </w:pPr>
      <w:r w:rsidRPr="0063292F">
        <w:t>58.</w:t>
      </w:r>
      <w:r w:rsidRPr="0063292F">
        <w:tab/>
        <w:t>zdôrazňuje kľúčovú úlohu oficiálnej rozvojovej pomoci pri plnení programu účinnosti rozvoja; zdôrazňuje, že ODA je pružnejšia, predvídateľnejšia a je spojená s väčšou zodpovednosťou než ostatné toky, ktoré potenciálne prispievajú k rozvoju; varuje pred rozdrobením kritérií oficiálnej rozvojovej pomoci s cieľom pokryť iné výdavky, než sú tie, ktoré sú priamo spojené s podporou udržateľného rozvoja v rozvojových krajinách;</w:t>
      </w:r>
    </w:p>
    <w:p w:rsidR="00EF7A9D" w:rsidRPr="0063292F" w:rsidRDefault="00EF7A9D" w:rsidP="00EF7A9D">
      <w:pPr>
        <w:pStyle w:val="NormalHanging12a"/>
        <w:rPr>
          <w:szCs w:val="24"/>
        </w:rPr>
      </w:pPr>
      <w:r w:rsidRPr="0063292F">
        <w:t>59.</w:t>
      </w:r>
      <w:r w:rsidRPr="0063292F">
        <w:tab/>
        <w:t>opakuje svoju požiadavku, aby Rada a členské štáty stanovili jasný harmonogram na dosiahnutie cieľa zvýšenia rozpočtu ODA na 0,7 % HND vrátane medzinárodného záväzku vynaložiť 0,15 až 0,2 % HND na ODA v najmenej rozvinutých krajinách a aby Komisia predložila konkrétny akčný plán, v ktorom vymedzí, ako sa budú dodatočné zdroje využívať na dosahovanie cieľov udržateľného rozvoja; zdôrazňuje, že účinnosť pomoci nenahrádza primeraný objem pomoci a že zachovanie alebo prekročenie cieľa 0,7 % týkajúceho sa oficiálnej rozvojovej pomoci má veľký význam; opakuje, že rozpočet EÚ by mal výrazne prispieť k celkovému zvýšeniu ODA EÚ;</w:t>
      </w:r>
    </w:p>
    <w:p w:rsidR="00EF7A9D" w:rsidRPr="0063292F" w:rsidRDefault="00EF7A9D" w:rsidP="00EF7A9D">
      <w:pPr>
        <w:pStyle w:val="NormalHanging12a"/>
      </w:pPr>
      <w:r w:rsidRPr="0063292F">
        <w:t>60.</w:t>
      </w:r>
      <w:r w:rsidRPr="0063292F">
        <w:tab/>
        <w:t>opätovne potvrdzuje svoju podporu tomu, aby sa do NDICI zahrnuli tieto ciele: 20 % na sociálne začlenenie a ľudský rozvoj; a aby v prípade aspoň 85 % projektov financovaných z ODA boli hlavným alebo významným cieľom rodová rovnosť a práva a posilnenie postavenia žien a dievčat, ako stanovil Výbor OECD pre rozvojovú pomoc;</w:t>
      </w:r>
    </w:p>
    <w:p w:rsidR="00EF7A9D" w:rsidRPr="0063292F" w:rsidRDefault="00EF7A9D" w:rsidP="00EF7A9D">
      <w:pPr>
        <w:pStyle w:val="NormalHanging12a"/>
      </w:pPr>
      <w:r w:rsidRPr="0063292F">
        <w:t>61.</w:t>
      </w:r>
      <w:r w:rsidRPr="0063292F">
        <w:tab/>
        <w:t>vyzýva na väčšiu súdržnosť politík v záujme rozvoja, ktorej cieľom je zabezpečiť, aby žiadne politiky EÚ alebo členských štátov nemali negatívny vplyv na rozvojové krajiny ani protichodné ciele;</w:t>
      </w:r>
    </w:p>
    <w:p w:rsidR="00EF7A9D" w:rsidRPr="0063292F" w:rsidRDefault="00EF7A9D" w:rsidP="00EF7A9D">
      <w:pPr>
        <w:pStyle w:val="NormalHanging12a"/>
      </w:pPr>
      <w:r w:rsidRPr="0063292F">
        <w:t>62.</w:t>
      </w:r>
      <w:r w:rsidRPr="0063292F">
        <w:tab/>
      </w:r>
      <w:r w:rsidR="002B7659" w:rsidRPr="0063292F">
        <w:t>domnieva sa, že európska rozvojová pomoc a verejné investície by mali podporovať spoločné priority a politické ciele vrátane</w:t>
      </w:r>
      <w:r w:rsidRPr="0063292F">
        <w:t xml:space="preserve"> odstránenia chudoby, </w:t>
      </w:r>
      <w:r w:rsidR="002B7659" w:rsidRPr="0063292F">
        <w:t>opatrenia v oblasti klímy a životného prostredia, hospodárske a obchodné politiky a riadenie migrácie a mali by byť tiež plne v súlade so zásadami základných ľudských práv, demokracie a dobrej správy vecí verejných</w:t>
      </w:r>
      <w:r w:rsidRPr="0063292F">
        <w:t>;</w:t>
      </w:r>
    </w:p>
    <w:p w:rsidR="00EF7A9D" w:rsidRPr="0063292F" w:rsidRDefault="00EF7A9D" w:rsidP="00EF7A9D">
      <w:pPr>
        <w:pStyle w:val="NormalHanging12a"/>
      </w:pPr>
      <w:r w:rsidRPr="0063292F">
        <w:t>63.</w:t>
      </w:r>
      <w:r w:rsidRPr="0063292F">
        <w:tab/>
        <w:t xml:space="preserve">zdôrazňuje, že podmieňovanie prideľovania </w:t>
      </w:r>
      <w:r w:rsidR="004A48EF" w:rsidRPr="0063292F">
        <w:t xml:space="preserve">humanitárnej </w:t>
      </w:r>
      <w:r w:rsidRPr="0063292F">
        <w:t xml:space="preserve">pomoci </w:t>
      </w:r>
      <w:r w:rsidR="004A48EF" w:rsidRPr="0063292F">
        <w:t xml:space="preserve">a núdzovej pomoci </w:t>
      </w:r>
      <w:r w:rsidRPr="0063292F">
        <w:t>spoluprácou s EÚ v otázkach migrácie alebo bezpečnosti nie je zlučiteľné s dohodnutými zásadami účinnosti rozvoja;</w:t>
      </w:r>
    </w:p>
    <w:p w:rsidR="00EF7A9D" w:rsidRPr="0063292F" w:rsidRDefault="00EF7A9D" w:rsidP="00EF7A9D">
      <w:pPr>
        <w:pStyle w:val="NormalHanging12a"/>
      </w:pPr>
      <w:r w:rsidRPr="0063292F">
        <w:t>64.</w:t>
      </w:r>
      <w:r w:rsidRPr="0063292F">
        <w:tab/>
        <w:t xml:space="preserve">poveruje svojho predsedu, aby postúpil toto uznesenie Rade, Komisii, vládam a parlamentom členských štátov OECD, Európskej službe pre vonkajšiu činnosť, Európskej investičnej banke, Európskej banke pre obnovu a rozvoj, skupine Svetovej banky, Africkej únii, spolupredsedom Globálneho partnerstva pre účinnú rozvojovú spoluprácu, Rozvojovému programu OSN, Odboru hospodárskych a sociálnych vecí OSN, OECD a </w:t>
      </w:r>
      <w:proofErr w:type="spellStart"/>
      <w:r w:rsidRPr="0063292F">
        <w:t>Medziparlamentnej</w:t>
      </w:r>
      <w:proofErr w:type="spellEnd"/>
      <w:r w:rsidRPr="0063292F">
        <w:t xml:space="preserve"> únii.</w:t>
      </w:r>
    </w:p>
    <w:p w:rsidR="00E365E1" w:rsidRPr="0063292F" w:rsidRDefault="00E365E1" w:rsidP="0005255F">
      <w:bookmarkStart w:id="10" w:name="TextBodyEnd"/>
      <w:bookmarkEnd w:id="10"/>
    </w:p>
    <w:sectPr w:rsidR="00E365E1" w:rsidRPr="0063292F" w:rsidSect="00E9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5F" w:rsidRPr="00E91C42" w:rsidRDefault="0005255F">
      <w:r w:rsidRPr="00E91C42">
        <w:separator/>
      </w:r>
    </w:p>
  </w:endnote>
  <w:endnote w:type="continuationSeparator" w:id="0">
    <w:p w:rsidR="0005255F" w:rsidRPr="00E91C42" w:rsidRDefault="0005255F">
      <w:r w:rsidRPr="00E91C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91C42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91C42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91C42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5F" w:rsidRPr="00E91C42" w:rsidRDefault="0005255F">
      <w:r w:rsidRPr="00E91C42">
        <w:separator/>
      </w:r>
    </w:p>
  </w:footnote>
  <w:footnote w:type="continuationSeparator" w:id="0">
    <w:p w:rsidR="0005255F" w:rsidRPr="00E91C42" w:rsidRDefault="0005255F">
      <w:r w:rsidRPr="00E91C42">
        <w:continuationSeparator/>
      </w:r>
    </w:p>
  </w:footnote>
  <w:footnote w:id="1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Rezolúcia OSN, ktorú prijalo Valné zhromaždenie 25. septembra 2015: </w:t>
      </w:r>
      <w:hyperlink r:id="rId1" w:history="1">
        <w:r w:rsidR="00775200" w:rsidRPr="00A72DBD">
          <w:rPr>
            <w:rStyle w:val="Hyperlink"/>
            <w:sz w:val="24"/>
            <w:lang w:val="sk-SK"/>
          </w:rPr>
          <w:t>https://www.unfpa.org/sites/default/files/resource-pdf/Resolution_A_RES_70_1_EN.pdf</w:t>
        </w:r>
      </w:hyperlink>
    </w:p>
  </w:footnote>
  <w:footnote w:id="2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Správa z roku 2019 o financovaní udržateľného rozvoja: </w:t>
      </w:r>
      <w:r w:rsidR="002E78D6">
        <w:fldChar w:fldCharType="begin"/>
      </w:r>
      <w:r w:rsidR="002E78D6" w:rsidRPr="002E78D6">
        <w:rPr>
          <w:lang w:val="sk-SK"/>
        </w:rPr>
        <w:instrText xml:space="preserve"> HYPERLINK "https://developmentfinance.un.org/sites/developmentfinance.un.org/files/FSDR2019.pdf" </w:instrText>
      </w:r>
      <w:r w:rsidR="002E78D6">
        <w:fldChar w:fldCharType="separate"/>
      </w:r>
      <w:r w:rsidRPr="00E91C42">
        <w:rPr>
          <w:rStyle w:val="Hyperlink"/>
          <w:sz w:val="24"/>
          <w:lang w:val="sk-SK"/>
        </w:rPr>
        <w:t>https://developmentfinance.un.org/sites/developmentfinance.un.org/files/FSDR2019.pdf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3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Výsledný nairobský dokument zo stretnutia GPEDC na vysokej úrovni v roku 2016: </w:t>
      </w:r>
      <w:r w:rsidR="002E78D6">
        <w:fldChar w:fldCharType="begin"/>
      </w:r>
      <w:r w:rsidR="002E78D6" w:rsidRPr="002E78D6">
        <w:rPr>
          <w:lang w:val="sk-SK"/>
        </w:rPr>
        <w:instrText xml:space="preserve"> HYPERLINK "https://www.effectivecooperation.org/wp-content/uploads/2016/12/OutcomeDocumentEnglish.pdf" </w:instrText>
      </w:r>
      <w:r w:rsidR="002E78D6">
        <w:fldChar w:fldCharType="separate"/>
      </w:r>
      <w:r w:rsidRPr="00E91C42">
        <w:rPr>
          <w:rStyle w:val="Hyperlink"/>
          <w:sz w:val="24"/>
          <w:lang w:val="sk-SK"/>
        </w:rPr>
        <w:t>https://www.effectivecooperation.org/wp-content/uploads/2016/12/OutcomeDocumentEnglish.pdf</w:t>
      </w:r>
      <w:r w:rsidR="002E78D6">
        <w:rPr>
          <w:rStyle w:val="Hyperlink"/>
          <w:sz w:val="24"/>
          <w:lang w:val="sk-SK"/>
        </w:rPr>
        <w:fldChar w:fldCharType="end"/>
      </w:r>
      <w:r w:rsidRPr="00E91C42">
        <w:rPr>
          <w:sz w:val="24"/>
          <w:lang w:val="sk-SK"/>
        </w:rPr>
        <w:t xml:space="preserve"> </w:t>
      </w:r>
    </w:p>
  </w:footnote>
  <w:footnote w:id="4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Správa o pokroku v rámci globálneho partnerstva, 17. jún 2019: </w:t>
      </w:r>
      <w:r w:rsidR="002E78D6">
        <w:fldChar w:fldCharType="begin"/>
      </w:r>
      <w:r w:rsidR="002E78D6" w:rsidRPr="002E78D6">
        <w:rPr>
          <w:lang w:val="sk-SK"/>
        </w:rPr>
        <w:instrText xml:space="preserve"> HYPERLINK "http://effectivecooperation.org/blogs-news-resources/resource-library/" </w:instrText>
      </w:r>
      <w:r w:rsidR="002E78D6">
        <w:fldChar w:fldCharType="separate"/>
      </w:r>
      <w:r w:rsidRPr="00775200">
        <w:rPr>
          <w:rStyle w:val="Hyperlink"/>
          <w:sz w:val="24"/>
          <w:lang w:val="sk-SK"/>
        </w:rPr>
        <w:t>http://effectivecooperation.org/blogs-news-resources/resource-library/</w:t>
      </w:r>
      <w:r w:rsidR="002E78D6">
        <w:rPr>
          <w:rStyle w:val="Hyperlink"/>
          <w:sz w:val="24"/>
          <w:lang w:val="sk-SK"/>
        </w:rPr>
        <w:fldChar w:fldCharType="end"/>
      </w:r>
      <w:r w:rsidRPr="00E91C42">
        <w:rPr>
          <w:sz w:val="24"/>
          <w:lang w:val="sk-SK"/>
        </w:rPr>
        <w:t xml:space="preserve"> </w:t>
      </w:r>
    </w:p>
  </w:footnote>
  <w:footnote w:id="5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Ú. v. EÚ C 210, 30.6.2017, s. 1. </w:t>
      </w:r>
    </w:p>
  </w:footnote>
  <w:footnote w:id="6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="002E78D6">
        <w:fldChar w:fldCharType="begin"/>
      </w:r>
      <w:r w:rsidR="002E78D6" w:rsidRPr="002E78D6">
        <w:rPr>
          <w:lang w:val="es-ES"/>
        </w:rPr>
        <w:instrText xml:space="preserve"> HYPERLINK "https://www.africa-eu-partnership.org/sites/default/files/33454-pr-final_declaration_au_eu_summit1.pdf" </w:instrText>
      </w:r>
      <w:r w:rsidR="002E78D6">
        <w:fldChar w:fldCharType="separate"/>
      </w:r>
      <w:r w:rsidRPr="00E91C42">
        <w:rPr>
          <w:rStyle w:val="Hyperlink"/>
          <w:sz w:val="24"/>
          <w:lang w:val="sk-SK"/>
        </w:rPr>
        <w:t>https://www.africa-eu-partnership.org/sites/default/files/33454-pr-final_declaration_au_eu_summit1.pdf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7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Výročná správa na rok 2019 o cieľoch rozvojovej pomoci EÚ: </w:t>
      </w:r>
      <w:r w:rsidR="002E78D6">
        <w:fldChar w:fldCharType="begin"/>
      </w:r>
      <w:r w:rsidR="002E78D6" w:rsidRPr="002E78D6">
        <w:rPr>
          <w:lang w:val="pl-PL"/>
        </w:rPr>
        <w:instrText xml:space="preserve"> HYPERLINK "https://www.consilium.europa.eu/media/39336/annual-report-2019-on-development-aid-targets.pdf" </w:instrText>
      </w:r>
      <w:r w:rsidR="002E78D6">
        <w:fldChar w:fldCharType="separate"/>
      </w:r>
      <w:r w:rsidRPr="00E91C42">
        <w:rPr>
          <w:rStyle w:val="Hyperlink"/>
          <w:sz w:val="24"/>
          <w:lang w:val="sk-SK"/>
        </w:rPr>
        <w:t>https://www.consilium.europa.eu/media/39336/annual-report-2019-on-development-aid-targets.pdf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8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Správa Rady z roku 2019 o európskej finančnej štruktúre pre rozvoj: </w:t>
      </w:r>
      <w:r w:rsidR="002E78D6">
        <w:fldChar w:fldCharType="begin"/>
      </w:r>
      <w:r w:rsidR="002E78D6" w:rsidRPr="002E78D6">
        <w:rPr>
          <w:lang w:val="pl-PL"/>
        </w:rPr>
        <w:instrText xml:space="preserve"> HYPERLINK "https://www.consilium.europa.eu/media/40967/efad-report_final.pdf" </w:instrText>
      </w:r>
      <w:r w:rsidR="002E78D6">
        <w:fldChar w:fldCharType="separate"/>
      </w:r>
      <w:r w:rsidRPr="00E91C42">
        <w:rPr>
          <w:rStyle w:val="Hyperlink"/>
          <w:sz w:val="24"/>
          <w:lang w:val="sk-SK"/>
        </w:rPr>
        <w:t>https://www.consilium.europa.eu/media/40967/efad-report_final.pdf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9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="002E78D6">
        <w:fldChar w:fldCharType="begin"/>
      </w:r>
      <w:r w:rsidR="002E78D6" w:rsidRPr="002E78D6">
        <w:rPr>
          <w:lang w:val="sk-SK"/>
        </w:rPr>
        <w:instrText xml:space="preserve"> HYPERLINK "https://ec.eu</w:instrText>
      </w:r>
      <w:r w:rsidR="002E78D6" w:rsidRPr="002E78D6">
        <w:rPr>
          <w:lang w:val="sk-SK"/>
        </w:rPr>
        <w:instrText xml:space="preserve">ropa.eu/info/sites/info/files/food-farming-fisheries/farming/documents/report-tfra_mar2019_en.pdf" </w:instrText>
      </w:r>
      <w:r w:rsidR="002E78D6">
        <w:fldChar w:fldCharType="separate"/>
      </w:r>
      <w:r w:rsidRPr="006B29F3">
        <w:rPr>
          <w:rStyle w:val="Hyperlink"/>
          <w:sz w:val="24"/>
          <w:lang w:val="sk-SK"/>
        </w:rPr>
        <w:t>https://ec.europa.eu/info/sites/info/files/food-farming-fisheries/farming/docum</w:t>
      </w:r>
      <w:r w:rsidR="006B29F3" w:rsidRPr="006B29F3">
        <w:rPr>
          <w:rStyle w:val="Hyperlink"/>
          <w:sz w:val="24"/>
          <w:lang w:val="sk-SK"/>
        </w:rPr>
        <w:t>ents/report-tfra_mar2019_en.pdf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10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proofErr w:type="spellStart"/>
      <w:r w:rsidRPr="00E91C42">
        <w:rPr>
          <w:sz w:val="24"/>
          <w:lang w:val="sk-SK"/>
        </w:rPr>
        <w:t>Benfield</w:t>
      </w:r>
      <w:proofErr w:type="spellEnd"/>
      <w:r w:rsidRPr="00E91C42">
        <w:rPr>
          <w:sz w:val="24"/>
          <w:lang w:val="sk-SK"/>
        </w:rPr>
        <w:t xml:space="preserve"> a </w:t>
      </w:r>
      <w:proofErr w:type="spellStart"/>
      <w:r w:rsidRPr="00E91C42">
        <w:rPr>
          <w:sz w:val="24"/>
          <w:lang w:val="sk-SK"/>
        </w:rPr>
        <w:t>Como</w:t>
      </w:r>
      <w:proofErr w:type="spellEnd"/>
      <w:r w:rsidRPr="00E91C42">
        <w:rPr>
          <w:sz w:val="24"/>
          <w:lang w:val="sk-SK"/>
        </w:rPr>
        <w:t xml:space="preserve"> pre AECOM International </w:t>
      </w:r>
      <w:proofErr w:type="spellStart"/>
      <w:r w:rsidRPr="00E91C42">
        <w:rPr>
          <w:sz w:val="24"/>
          <w:lang w:val="sk-SK"/>
        </w:rPr>
        <w:t>Development</w:t>
      </w:r>
      <w:proofErr w:type="spellEnd"/>
      <w:r w:rsidRPr="00E91C42">
        <w:rPr>
          <w:sz w:val="24"/>
          <w:lang w:val="sk-SK"/>
        </w:rPr>
        <w:t xml:space="preserve"> </w:t>
      </w:r>
      <w:proofErr w:type="spellStart"/>
      <w:r w:rsidRPr="00E91C42">
        <w:rPr>
          <w:sz w:val="24"/>
          <w:lang w:val="sk-SK"/>
        </w:rPr>
        <w:t>Europe</w:t>
      </w:r>
      <w:proofErr w:type="spellEnd"/>
      <w:r w:rsidRPr="00E91C42">
        <w:rPr>
          <w:sz w:val="24"/>
          <w:lang w:val="sk-SK"/>
        </w:rPr>
        <w:t xml:space="preserve"> (2019), štúdia o uplatňovaní zásad účinnosti, ktorú si objednala Európska komisia (projekt č. 2018/403300/1): </w:t>
      </w:r>
      <w:r w:rsidR="002E78D6">
        <w:fldChar w:fldCharType="begin"/>
      </w:r>
      <w:r w:rsidR="002E78D6" w:rsidRPr="002E78D6">
        <w:rPr>
          <w:lang w:val="sk-SK"/>
        </w:rPr>
        <w:instrText xml:space="preserve"> HYPERLINK "https://knowledge.effectivecooperation.org/system/files/2019-07/2019_07_Impact_study_final.pdf" </w:instrText>
      </w:r>
      <w:r w:rsidR="002E78D6">
        <w:fldChar w:fldCharType="separate"/>
      </w:r>
      <w:r w:rsidRPr="00E91C42">
        <w:rPr>
          <w:rStyle w:val="Hyperlink"/>
          <w:sz w:val="24"/>
          <w:lang w:val="sk-SK"/>
        </w:rPr>
        <w:t>https://knowledge.effectivecooperation.org/system/files/2019-07/2019_07_Impact_study_final.pdf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11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279</w:t>
      </w:r>
      <w:r w:rsidR="000D0B5F">
        <w:rPr>
          <w:sz w:val="24"/>
          <w:lang w:val="sk-SK"/>
        </w:rPr>
        <w:t xml:space="preserve"> </w:t>
      </w:r>
      <w:r w:rsidRPr="00E91C42">
        <w:rPr>
          <w:sz w:val="24"/>
          <w:lang w:val="sk-SK"/>
        </w:rPr>
        <w:t>E, 19.11.2009, s. 100.</w:t>
      </w:r>
    </w:p>
  </w:footnote>
  <w:footnote w:id="12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33</w:t>
      </w:r>
      <w:r w:rsidR="000D0B5F">
        <w:rPr>
          <w:sz w:val="24"/>
          <w:lang w:val="sk-SK"/>
        </w:rPr>
        <w:t xml:space="preserve"> </w:t>
      </w:r>
      <w:r w:rsidRPr="00E91C42">
        <w:rPr>
          <w:sz w:val="24"/>
          <w:lang w:val="sk-SK"/>
        </w:rPr>
        <w:t>E, 5.2.2013, s. 38.</w:t>
      </w:r>
    </w:p>
  </w:footnote>
  <w:footnote w:id="13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131</w:t>
      </w:r>
      <w:r w:rsidR="000D0B5F">
        <w:rPr>
          <w:sz w:val="24"/>
          <w:lang w:val="sk-SK"/>
        </w:rPr>
        <w:t xml:space="preserve"> </w:t>
      </w:r>
      <w:r w:rsidRPr="00E91C42">
        <w:rPr>
          <w:sz w:val="24"/>
          <w:lang w:val="sk-SK"/>
        </w:rPr>
        <w:t>E, 8.5.2013, s. 80.</w:t>
      </w:r>
    </w:p>
  </w:footnote>
  <w:footnote w:id="14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Ú. v. EÚ C 349, 17.10.2017, s. 11. </w:t>
      </w:r>
    </w:p>
  </w:footnote>
  <w:footnote w:id="15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353, 27.9.2016, s. 2.</w:t>
      </w:r>
    </w:p>
  </w:footnote>
  <w:footnote w:id="16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58, 15.2.2018, s. 209.</w:t>
      </w:r>
    </w:p>
  </w:footnote>
  <w:footnote w:id="17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86, 6.3.2018, s. 2.</w:t>
      </w:r>
    </w:p>
  </w:footnote>
  <w:footnote w:id="18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204, 13.6.2018, s. 68.</w:t>
      </w:r>
    </w:p>
  </w:footnote>
  <w:footnote w:id="19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224, 27.6.2018, s. 36.</w:t>
      </w:r>
    </w:p>
  </w:footnote>
  <w:footnote w:id="20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252, 18.7.2018, s. 62.</w:t>
      </w:r>
    </w:p>
  </w:footnote>
  <w:footnote w:id="21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356, 4.10.2018, s. 66.</w:t>
      </w:r>
    </w:p>
  </w:footnote>
  <w:footnote w:id="22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390, 18.11.2019, s. 33.</w:t>
      </w:r>
    </w:p>
  </w:footnote>
  <w:footnote w:id="23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Ú. v. EÚ C 28, 27.1.2020, s. 101.</w:t>
      </w:r>
    </w:p>
  </w:footnote>
  <w:footnote w:id="24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Prijaté texty, P8_TA(2019)0220.</w:t>
      </w:r>
    </w:p>
  </w:footnote>
  <w:footnote w:id="25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Prijaté texty, P8_TA(2019)0298.</w:t>
      </w:r>
    </w:p>
  </w:footnote>
  <w:footnote w:id="26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Prijaté texty, P9_TA(2019)0084.</w:t>
      </w:r>
    </w:p>
  </w:footnote>
  <w:footnote w:id="27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Prijaté texty, P9_TA(2019)0079.</w:t>
      </w:r>
    </w:p>
  </w:footnote>
  <w:footnote w:id="28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>Prijaté texty, P9_TA(2020)0005.</w:t>
      </w:r>
    </w:p>
  </w:footnote>
  <w:footnote w:id="29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="002E78D6">
        <w:fldChar w:fldCharType="begin"/>
      </w:r>
      <w:r w:rsidR="002E78D6" w:rsidRPr="002E78D6">
        <w:rPr>
          <w:lang w:val="sk-SK"/>
        </w:rPr>
        <w:instrText xml:space="preserve"> HYPERLINK "https://www.consilium.europa.eu/media/24467/st13201-en15.pdf" </w:instrText>
      </w:r>
      <w:r w:rsidR="002E78D6">
        <w:fldChar w:fldCharType="separate"/>
      </w:r>
      <w:r w:rsidRPr="000D0B5F">
        <w:rPr>
          <w:rStyle w:val="Hyperlink"/>
          <w:sz w:val="24"/>
          <w:lang w:val="sk-SK"/>
        </w:rPr>
        <w:t>https://www.consilium.europa.eu/media/24467/st13201-en15.pdf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30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="002E78D6">
        <w:fldChar w:fldCharType="begin"/>
      </w:r>
      <w:r w:rsidR="002E78D6" w:rsidRPr="002E78D6">
        <w:rPr>
          <w:lang w:val="sk-SK"/>
        </w:rPr>
        <w:instrText xml:space="preserve"> HYPERLINK "https://ec.europa.eu/international-partnerships/system/files/eu-development-effectiveness-monitoring-re</w:instrText>
      </w:r>
      <w:r w:rsidR="002E78D6" w:rsidRPr="002E78D6">
        <w:rPr>
          <w:lang w:val="sk-SK"/>
        </w:rPr>
        <w:instrText xml:space="preserve">port-2020_en.pdf" </w:instrText>
      </w:r>
      <w:r w:rsidR="002E78D6">
        <w:fldChar w:fldCharType="separate"/>
      </w:r>
      <w:r w:rsidRPr="000D0B5F">
        <w:rPr>
          <w:rStyle w:val="Hyperlink"/>
          <w:sz w:val="24"/>
          <w:lang w:val="sk-SK"/>
        </w:rPr>
        <w:t>https://ec.europa.eu/international-partnerships/system/files/eu-development-effectiveness-monitoring-report-2020_en.pdf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31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="002E78D6">
        <w:fldChar w:fldCharType="begin"/>
      </w:r>
      <w:r w:rsidR="002E78D6" w:rsidRPr="002E78D6">
        <w:rPr>
          <w:lang w:val="sk-SK"/>
        </w:rPr>
        <w:instrText xml:space="preserve"> HYPERLINK "http://www.oecd.org/coronavirus/policy-responses/the-impact-of-the-coronavirus-covid-19-crisis-on-de</w:instrText>
      </w:r>
      <w:r w:rsidR="002E78D6" w:rsidRPr="002E78D6">
        <w:rPr>
          <w:lang w:val="sk-SK"/>
        </w:rPr>
        <w:instrText xml:space="preserve">velopment-finance-9de00b3b/" </w:instrText>
      </w:r>
      <w:r w:rsidR="002E78D6">
        <w:fldChar w:fldCharType="separate"/>
      </w:r>
      <w:r w:rsidRPr="000D0B5F">
        <w:rPr>
          <w:rStyle w:val="Hyperlink"/>
          <w:sz w:val="24"/>
          <w:lang w:val="sk-SK"/>
        </w:rPr>
        <w:t>http://www.oecd.org/coronavirus/policy-responses/the-impact-of-the-coronavirus-covid-19-crisis-on-development-finance-9de00b3b/</w:t>
      </w:r>
      <w:r w:rsidR="002E78D6">
        <w:rPr>
          <w:rStyle w:val="Hyperlink"/>
          <w:sz w:val="24"/>
          <w:lang w:val="sk-SK"/>
        </w:rPr>
        <w:fldChar w:fldCharType="end"/>
      </w:r>
    </w:p>
  </w:footnote>
  <w:footnote w:id="32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Uznesenie z 11. decembra 2013 s odporúčaniami pre Komisiu o koordinácii darcov EÚ v oblasti rozvojovej pomoci </w:t>
      </w:r>
      <w:r w:rsidR="00671067">
        <w:rPr>
          <w:sz w:val="24"/>
          <w:lang w:val="sk-SK"/>
        </w:rPr>
        <w:t>(</w:t>
      </w:r>
      <w:r w:rsidRPr="00E91C42">
        <w:rPr>
          <w:sz w:val="24"/>
          <w:lang w:val="sk-SK"/>
        </w:rPr>
        <w:t>Ú. v. EÚ C 468, 15.12.2016, s. 73</w:t>
      </w:r>
      <w:r w:rsidR="00671067">
        <w:rPr>
          <w:sz w:val="24"/>
          <w:lang w:val="sk-SK"/>
        </w:rPr>
        <w:t>)</w:t>
      </w:r>
      <w:r w:rsidRPr="00E91C42">
        <w:rPr>
          <w:sz w:val="24"/>
          <w:lang w:val="sk-SK"/>
        </w:rPr>
        <w:t>.</w:t>
      </w:r>
    </w:p>
  </w:footnote>
  <w:footnote w:id="33">
    <w:p w:rsidR="00EF7A9D" w:rsidRPr="00E91C42" w:rsidRDefault="00EF7A9D" w:rsidP="00E91C42">
      <w:pPr>
        <w:pStyle w:val="FootnoteText"/>
        <w:ind w:left="567" w:hanging="567"/>
        <w:rPr>
          <w:sz w:val="24"/>
          <w:lang w:val="sk-SK"/>
        </w:rPr>
      </w:pPr>
      <w:r w:rsidRPr="00E91C42">
        <w:rPr>
          <w:rStyle w:val="FootnoteReference"/>
          <w:sz w:val="24"/>
          <w:lang w:val="sk-SK"/>
        </w:rPr>
        <w:footnoteRef/>
      </w:r>
      <w:r w:rsidR="00E91C42" w:rsidRPr="00E91C42">
        <w:rPr>
          <w:sz w:val="24"/>
          <w:lang w:val="sk-SK"/>
        </w:rPr>
        <w:t xml:space="preserve"> </w:t>
      </w:r>
      <w:r w:rsidR="00E91C42" w:rsidRPr="00E91C42">
        <w:rPr>
          <w:sz w:val="24"/>
          <w:lang w:val="sk-SK"/>
        </w:rPr>
        <w:tab/>
      </w:r>
      <w:r w:rsidRPr="00E91C42">
        <w:rPr>
          <w:sz w:val="24"/>
          <w:lang w:val="sk-SK"/>
        </w:rPr>
        <w:t xml:space="preserve">Uznesenie zo 14. februára 2017 o revízii Európskeho konsenzu o rozvoji </w:t>
      </w:r>
      <w:r w:rsidR="00671067">
        <w:rPr>
          <w:sz w:val="24"/>
          <w:lang w:val="sk-SK"/>
        </w:rPr>
        <w:t>(</w:t>
      </w:r>
      <w:r w:rsidRPr="00E91C42">
        <w:rPr>
          <w:sz w:val="24"/>
          <w:lang w:val="sk-SK"/>
        </w:rPr>
        <w:t>Ú. v. EÚ C 252, 18.7.2018, s. 62</w:t>
      </w:r>
      <w:r w:rsidR="00671067">
        <w:rPr>
          <w:sz w:val="24"/>
          <w:lang w:val="sk-SK"/>
        </w:rPr>
        <w:t>)</w:t>
      </w:r>
      <w:r w:rsidRPr="00E91C42">
        <w:rPr>
          <w:sz w:val="24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91C42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91C42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91C42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212/2020"/>
    <w:docVar w:name="dvlangue" w:val="SK"/>
    <w:docVar w:name="dvnumam" w:val="0"/>
    <w:docVar w:name="dvpe" w:val="648.376"/>
    <w:docVar w:name="dvrapporteur" w:val="Spravodajca: "/>
    <w:docVar w:name="dvtitre" w:val="Uznesenie Európskeho parlamentu z xx. novembra 2020 o zlepšovaní účinnosti rozvoja a efektívnosti pomoci(2019/2184(INI))"/>
  </w:docVars>
  <w:rsids>
    <w:rsidRoot w:val="0005255F"/>
    <w:rsid w:val="00002272"/>
    <w:rsid w:val="0005255F"/>
    <w:rsid w:val="00064002"/>
    <w:rsid w:val="000677B9"/>
    <w:rsid w:val="000831BA"/>
    <w:rsid w:val="000A42CC"/>
    <w:rsid w:val="000D0B5F"/>
    <w:rsid w:val="000E7DD9"/>
    <w:rsid w:val="0010095E"/>
    <w:rsid w:val="00125B37"/>
    <w:rsid w:val="00187494"/>
    <w:rsid w:val="001F32AE"/>
    <w:rsid w:val="002373D6"/>
    <w:rsid w:val="002767FF"/>
    <w:rsid w:val="002879D7"/>
    <w:rsid w:val="002B18FE"/>
    <w:rsid w:val="002B5493"/>
    <w:rsid w:val="002B7659"/>
    <w:rsid w:val="002E78D6"/>
    <w:rsid w:val="00343214"/>
    <w:rsid w:val="00347DDD"/>
    <w:rsid w:val="00361C00"/>
    <w:rsid w:val="00395FA1"/>
    <w:rsid w:val="003E15D4"/>
    <w:rsid w:val="00411CCE"/>
    <w:rsid w:val="0041666E"/>
    <w:rsid w:val="00421060"/>
    <w:rsid w:val="00471C19"/>
    <w:rsid w:val="00494A28"/>
    <w:rsid w:val="004A48EF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3292F"/>
    <w:rsid w:val="006631B6"/>
    <w:rsid w:val="00671067"/>
    <w:rsid w:val="00680577"/>
    <w:rsid w:val="006906FF"/>
    <w:rsid w:val="006B29F3"/>
    <w:rsid w:val="006F74FA"/>
    <w:rsid w:val="00731ADD"/>
    <w:rsid w:val="00734777"/>
    <w:rsid w:val="00747932"/>
    <w:rsid w:val="00751A4A"/>
    <w:rsid w:val="00756632"/>
    <w:rsid w:val="00762C74"/>
    <w:rsid w:val="00775200"/>
    <w:rsid w:val="00786EC0"/>
    <w:rsid w:val="007A4839"/>
    <w:rsid w:val="007D1690"/>
    <w:rsid w:val="007E1480"/>
    <w:rsid w:val="007E1B73"/>
    <w:rsid w:val="007E22AD"/>
    <w:rsid w:val="007F67DE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2561A"/>
    <w:rsid w:val="00B558F0"/>
    <w:rsid w:val="00B600BB"/>
    <w:rsid w:val="00BD0FDE"/>
    <w:rsid w:val="00BD48FE"/>
    <w:rsid w:val="00BD7BD8"/>
    <w:rsid w:val="00BE6ADC"/>
    <w:rsid w:val="00C04489"/>
    <w:rsid w:val="00C05BFE"/>
    <w:rsid w:val="00C23CD4"/>
    <w:rsid w:val="00C61C0C"/>
    <w:rsid w:val="00C941CB"/>
    <w:rsid w:val="00CC2357"/>
    <w:rsid w:val="00CF071A"/>
    <w:rsid w:val="00D058B8"/>
    <w:rsid w:val="00D55404"/>
    <w:rsid w:val="00D56C11"/>
    <w:rsid w:val="00D834A0"/>
    <w:rsid w:val="00D872DF"/>
    <w:rsid w:val="00D91E21"/>
    <w:rsid w:val="00DA7FCD"/>
    <w:rsid w:val="00DB0934"/>
    <w:rsid w:val="00DB57C5"/>
    <w:rsid w:val="00DE0382"/>
    <w:rsid w:val="00E03BF3"/>
    <w:rsid w:val="00E22D5D"/>
    <w:rsid w:val="00E365E1"/>
    <w:rsid w:val="00E820A4"/>
    <w:rsid w:val="00E91C42"/>
    <w:rsid w:val="00EB006A"/>
    <w:rsid w:val="00EB4772"/>
    <w:rsid w:val="00ED169E"/>
    <w:rsid w:val="00ED4235"/>
    <w:rsid w:val="00EF7A9D"/>
    <w:rsid w:val="00F04346"/>
    <w:rsid w:val="00F075DC"/>
    <w:rsid w:val="00F149E9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4DC8-6AA5-4C11-BFFE-8412CC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Hanging12a">
    <w:name w:val="NormalHanging12a"/>
    <w:basedOn w:val="Normal"/>
    <w:link w:val="NormalHanging12aChar"/>
    <w:rsid w:val="00EF7A9D"/>
    <w:pPr>
      <w:spacing w:after="240"/>
      <w:ind w:left="567" w:hanging="567"/>
    </w:pPr>
  </w:style>
  <w:style w:type="paragraph" w:customStyle="1" w:styleId="EPComma">
    <w:name w:val="EPComma"/>
    <w:basedOn w:val="Normal"/>
    <w:rsid w:val="00EF7A9D"/>
    <w:pPr>
      <w:spacing w:before="480" w:after="240"/>
    </w:pPr>
  </w:style>
  <w:style w:type="character" w:styleId="Hyperlink">
    <w:name w:val="Hyperlink"/>
    <w:basedOn w:val="DefaultParagraphFont"/>
    <w:uiPriority w:val="99"/>
    <w:unhideWhenUsed/>
    <w:rsid w:val="00EF7A9D"/>
    <w:rPr>
      <w:color w:val="0563C1" w:themeColor="hyperlink"/>
      <w:u w:val="single"/>
    </w:rPr>
  </w:style>
  <w:style w:type="character" w:customStyle="1" w:styleId="NormalHanging12aChar">
    <w:name w:val="NormalHanging12a Char"/>
    <w:basedOn w:val="DefaultParagraphFont"/>
    <w:link w:val="NormalHanging12a"/>
    <w:rsid w:val="00EF7A9D"/>
    <w:rPr>
      <w:sz w:val="24"/>
      <w:lang w:val="sk-SK"/>
    </w:rPr>
  </w:style>
  <w:style w:type="paragraph" w:styleId="BalloonText">
    <w:name w:val="Balloon Text"/>
    <w:basedOn w:val="Normal"/>
    <w:link w:val="BalloonTextChar"/>
    <w:rsid w:val="0069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06FF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fpa.org/sites/default/files/resource-pdf/Resolution_A_RES_70_1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7063</Words>
  <Characters>43638</Characters>
  <Application>Microsoft Office Word</Application>
  <DocSecurity>0</DocSecurity>
  <Lines>363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50600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SOLTYSOVA Zuzana</cp:lastModifiedBy>
  <cp:revision>2</cp:revision>
  <cp:lastPrinted>2004-11-19T15:42:00Z</cp:lastPrinted>
  <dcterms:created xsi:type="dcterms:W3CDTF">2021-01-26T13:57:00Z</dcterms:created>
  <dcterms:modified xsi:type="dcterms:W3CDTF">2021-01-26T13:57:00Z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A9-0212/2020</vt:lpwstr>
  </property>
  <property fmtid="{D5CDD505-2E9C-101B-9397-08002B2CF9AE}" pid="4" name="&lt;Type&gt;">
    <vt:lpwstr>RR</vt:lpwstr>
  </property>
</Properties>
</file>