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E6DE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E6DEA" w:rsidRDefault="009C69E9" w:rsidP="0010095E">
            <w:pPr>
              <w:pStyle w:val="EPName"/>
            </w:pPr>
            <w:r w:rsidRPr="00DE6DEA">
              <w:t>Európsky parlament</w:t>
            </w:r>
          </w:p>
          <w:p w:rsidR="00751A4A" w:rsidRPr="00DE6DEA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DE6DEA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DE6DEA" w:rsidRDefault="00187494" w:rsidP="0010095E">
            <w:pPr>
              <w:pStyle w:val="EPLogo"/>
            </w:pPr>
            <w:r w:rsidRPr="00DE6DEA">
              <w:rPr>
                <w:noProof/>
                <w:lang w:val="pl-PL" w:eastAsia="pl-PL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DE6DEA" w:rsidRDefault="00D058B8" w:rsidP="004C5D52">
      <w:pPr>
        <w:pStyle w:val="LineTop"/>
      </w:pPr>
    </w:p>
    <w:p w:rsidR="00680577" w:rsidRPr="00DE6DEA" w:rsidRDefault="009C69E9" w:rsidP="00680577">
      <w:pPr>
        <w:pStyle w:val="EPBodyTA1"/>
      </w:pPr>
      <w:r w:rsidRPr="00DE6DEA">
        <w:t>PRIJATÉ TEXTY</w:t>
      </w:r>
    </w:p>
    <w:p w:rsidR="00D058B8" w:rsidRPr="00DE6DEA" w:rsidRDefault="00D058B8" w:rsidP="00D058B8">
      <w:pPr>
        <w:pStyle w:val="LineBottom"/>
      </w:pPr>
    </w:p>
    <w:p w:rsidR="009C69E9" w:rsidRPr="00DE6DEA" w:rsidRDefault="009C69E9" w:rsidP="009C69E9">
      <w:pPr>
        <w:pStyle w:val="ATHeading1"/>
      </w:pPr>
      <w:bookmarkStart w:id="0" w:name="TANumber"/>
      <w:r w:rsidRPr="00DE6DEA">
        <w:t>P9_TA(2021)0</w:t>
      </w:r>
      <w:r w:rsidR="00D40CA6" w:rsidRPr="00DE6DEA">
        <w:t>350</w:t>
      </w:r>
      <w:bookmarkEnd w:id="0"/>
    </w:p>
    <w:p w:rsidR="009C69E9" w:rsidRPr="00DE6DEA" w:rsidRDefault="009C69E9" w:rsidP="009C69E9">
      <w:pPr>
        <w:pStyle w:val="ATHeading2"/>
      </w:pPr>
      <w:bookmarkStart w:id="1" w:name="title"/>
      <w:r w:rsidRPr="00DE6DEA">
        <w:t>Výročná správa o fungovaní schengenského priestoru</w:t>
      </w:r>
      <w:bookmarkEnd w:id="1"/>
      <w:r w:rsidRPr="00DE6DEA">
        <w:t xml:space="preserve"> </w:t>
      </w:r>
      <w:bookmarkStart w:id="2" w:name="Etoiles"/>
      <w:bookmarkEnd w:id="2"/>
    </w:p>
    <w:p w:rsidR="009C69E9" w:rsidRPr="00DE6DEA" w:rsidRDefault="009C69E9" w:rsidP="009C69E9">
      <w:pPr>
        <w:rPr>
          <w:i/>
          <w:vanish/>
        </w:rPr>
      </w:pPr>
      <w:r w:rsidRPr="00DE6DEA">
        <w:rPr>
          <w:i/>
        </w:rPr>
        <w:fldChar w:fldCharType="begin"/>
      </w:r>
      <w:r w:rsidRPr="00DE6DEA">
        <w:rPr>
          <w:i/>
        </w:rPr>
        <w:instrText xml:space="preserve"> TC"(</w:instrText>
      </w:r>
      <w:bookmarkStart w:id="3" w:name="DocNumber"/>
      <w:r w:rsidRPr="00DE6DEA">
        <w:rPr>
          <w:i/>
        </w:rPr>
        <w:instrText>A9-0183/2021</w:instrText>
      </w:r>
      <w:bookmarkEnd w:id="3"/>
      <w:r w:rsidRPr="00DE6DEA">
        <w:rPr>
          <w:i/>
        </w:rPr>
        <w:instrText xml:space="preserve"> - Spravodajkyňa: </w:instrText>
      </w:r>
      <w:proofErr w:type="spellStart"/>
      <w:r w:rsidRPr="00DE6DEA">
        <w:rPr>
          <w:i/>
        </w:rPr>
        <w:instrText>Tanja</w:instrText>
      </w:r>
      <w:proofErr w:type="spellEnd"/>
      <w:r w:rsidRPr="00DE6DEA">
        <w:rPr>
          <w:i/>
        </w:rPr>
        <w:instrText xml:space="preserve"> </w:instrText>
      </w:r>
      <w:proofErr w:type="spellStart"/>
      <w:r w:rsidRPr="00DE6DEA">
        <w:rPr>
          <w:i/>
        </w:rPr>
        <w:instrText>Fajon</w:instrText>
      </w:r>
      <w:proofErr w:type="spellEnd"/>
      <w:r w:rsidRPr="00DE6DEA">
        <w:rPr>
          <w:i/>
        </w:rPr>
        <w:instrText xml:space="preserve">)"\l3 \n&gt; \* MERGEFORMAT </w:instrText>
      </w:r>
      <w:r w:rsidRPr="00DE6DEA">
        <w:rPr>
          <w:i/>
        </w:rPr>
        <w:fldChar w:fldCharType="end"/>
      </w:r>
    </w:p>
    <w:p w:rsidR="009C69E9" w:rsidRPr="00DE6DEA" w:rsidRDefault="009C69E9" w:rsidP="009C69E9">
      <w:pPr>
        <w:rPr>
          <w:vanish/>
        </w:rPr>
      </w:pPr>
      <w:bookmarkStart w:id="4" w:name="Commission"/>
      <w:r w:rsidRPr="00DE6DEA">
        <w:rPr>
          <w:vanish/>
        </w:rPr>
        <w:t>Výbor pre občianske slobody, spravodlivosť a vnútorné veci</w:t>
      </w:r>
      <w:bookmarkEnd w:id="4"/>
    </w:p>
    <w:p w:rsidR="009C69E9" w:rsidRPr="00DE6DEA" w:rsidRDefault="009C69E9" w:rsidP="009C69E9">
      <w:pPr>
        <w:rPr>
          <w:vanish/>
        </w:rPr>
      </w:pPr>
      <w:bookmarkStart w:id="5" w:name="PE"/>
      <w:r w:rsidRPr="00DE6DEA">
        <w:rPr>
          <w:vanish/>
        </w:rPr>
        <w:t>PE661.893</w:t>
      </w:r>
      <w:bookmarkEnd w:id="5"/>
    </w:p>
    <w:p w:rsidR="009C69E9" w:rsidRPr="00DE6DEA" w:rsidRDefault="009C69E9" w:rsidP="004563BE">
      <w:pPr>
        <w:pStyle w:val="ATHeading3"/>
      </w:pPr>
      <w:bookmarkStart w:id="6" w:name="Sujet"/>
      <w:r w:rsidRPr="00DE6DEA">
        <w:t>Uznesenie Európskeho parlamentu z</w:t>
      </w:r>
      <w:r w:rsidR="001A14D9" w:rsidRPr="00DE6DEA">
        <w:t xml:space="preserve"> </w:t>
      </w:r>
      <w:r w:rsidR="0009500C" w:rsidRPr="00DE6DEA">
        <w:t>8</w:t>
      </w:r>
      <w:r w:rsidRPr="00DE6DEA">
        <w:t>. júla 2021 o výročnej správe o fungovaní schengenského priestoru</w:t>
      </w:r>
      <w:bookmarkEnd w:id="6"/>
      <w:r w:rsidRPr="00DE6DEA">
        <w:t xml:space="preserve"> </w:t>
      </w:r>
      <w:bookmarkStart w:id="7" w:name="References"/>
      <w:r w:rsidRPr="00DE6DEA">
        <w:t>(2019/2196(INI))</w:t>
      </w:r>
      <w:bookmarkEnd w:id="7"/>
    </w:p>
    <w:p w:rsidR="00EA6DF7" w:rsidRPr="00DE6DEA" w:rsidRDefault="00EA6DF7" w:rsidP="00EA6DF7">
      <w:pPr>
        <w:pStyle w:val="EPComma"/>
      </w:pPr>
      <w:bookmarkStart w:id="8" w:name="TextBodyBegin"/>
      <w:bookmarkEnd w:id="8"/>
      <w:r w:rsidRPr="00DE6DEA">
        <w:rPr>
          <w:i/>
        </w:rPr>
        <w:t>Európsky parlament,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>so zreteľom na článok 77 ods. 2 Zmluvy o fungovaní Európskej únie (ďalej len „ZFEÚ“), ktorým sa ustanovuje priestor slobody, bezpečnosti a spravodlivosti, ktorý „zabezpečuje absenciu kontrol osôb pri prek</w:t>
      </w:r>
      <w:r w:rsidR="00BF1067" w:rsidRPr="00DE6DEA">
        <w:t>r</w:t>
      </w:r>
      <w:r w:rsidRPr="00DE6DEA">
        <w:t>ačovaní vnútorných hraníc“,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>so zreteľom na článok 21 ods. 1 ZFEÚ a článok 45 Charty základných práv Európskej únie (ďalej len „</w:t>
      </w:r>
      <w:r w:rsidR="00EB49B8" w:rsidRPr="00DE6DEA">
        <w:t>c</w:t>
      </w:r>
      <w:r w:rsidRPr="00DE6DEA">
        <w:t>harta“), ktoré zabezpečujú právo občanov na slobodný pohyb a pobyt na území členských štátov,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 xml:space="preserve">so zreteľom na článok 18 ZFEÚ a článok 21 ods. 2 </w:t>
      </w:r>
      <w:r w:rsidR="00EB49B8" w:rsidRPr="00DE6DEA">
        <w:t>c</w:t>
      </w:r>
      <w:r w:rsidRPr="00DE6DEA">
        <w:t>harty, ktorými sa zakazuje akákoľvek diskriminácia na základe štátnej príslušnosti,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 xml:space="preserve">so zreteľom na články 18 a 19 </w:t>
      </w:r>
      <w:r w:rsidR="00EB49B8" w:rsidRPr="00DE6DEA">
        <w:t>c</w:t>
      </w:r>
      <w:r w:rsidRPr="00DE6DEA">
        <w:t xml:space="preserve">harty o práve na azyl a na ochranu v prípade vysťahovania, vyhostenia alebo </w:t>
      </w:r>
      <w:proofErr w:type="spellStart"/>
      <w:r w:rsidRPr="00DE6DEA">
        <w:t>extradície</w:t>
      </w:r>
      <w:proofErr w:type="spellEnd"/>
      <w:r w:rsidRPr="00DE6DEA">
        <w:t>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 xml:space="preserve">so zreteľom na schengenské </w:t>
      </w:r>
      <w:proofErr w:type="spellStart"/>
      <w:r w:rsidRPr="00DE6DEA">
        <w:rPr>
          <w:i/>
        </w:rPr>
        <w:t>acquis</w:t>
      </w:r>
      <w:proofErr w:type="spellEnd"/>
      <w:r w:rsidRPr="00DE6DEA">
        <w:t>, ktoré sa od podpísania Schengenskej dohody 14. júna 1985 neustále vyvíja a ktoré v súčasnosti obsahuje množstvo právnych aktov EÚ v oblasti riadenia vnútorných a vonkajších hraníc, vízovej politiky, politiky návratu, policajnej spolupráce a ochrany údajov, ako aj právne akty, ktorými sa zriaďujú a riadia dve agentúry Únie (Európska agentúra pre pohraničnú a pobrežnú stráž (</w:t>
      </w:r>
      <w:proofErr w:type="spellStart"/>
      <w:r w:rsidRPr="00DE6DEA">
        <w:t>Frontex</w:t>
      </w:r>
      <w:proofErr w:type="spellEnd"/>
      <w:r w:rsidRPr="00DE6DEA">
        <w:t>) a Agentúra Európskej únie na prevádzkové riadenie rozsiahlych informačných systémov v priestore slobody, bezpečnosti a spravodlivosti (</w:t>
      </w:r>
      <w:proofErr w:type="spellStart"/>
      <w:r w:rsidRPr="00DE6DEA">
        <w:t>eu</w:t>
      </w:r>
      <w:proofErr w:type="spellEnd"/>
      <w:r w:rsidRPr="00DE6DEA">
        <w:t xml:space="preserve">-LISA)), finančný program (nástroj pre finančnú podporu v oblasti vonkajších hraníc a víz) a štyri rozsiahle informačné systémy (Schengenský informačný systém, vízový informačný systém, Európsky systém pre cestovné informácie a povolenia (ETIAS) a systém vstup/výstup (EES)) vrátane ich </w:t>
      </w:r>
      <w:proofErr w:type="spellStart"/>
      <w:r w:rsidRPr="00DE6DEA">
        <w:t>interoperability</w:t>
      </w:r>
      <w:proofErr w:type="spellEnd"/>
      <w:r w:rsidRPr="00DE6DEA">
        <w:t>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 xml:space="preserve">so zreteľom na právne predpisy prijaté od poslednej výročnej správy o fungovaní schengenského priestoru zamerané na posilnenie neustálych výziev, konkrétne nariadenia Európskeho parlamentu a Rady (EÚ) 2018/1860 z 28. novembra 2018 o </w:t>
      </w:r>
      <w:r w:rsidRPr="00DE6DEA">
        <w:lastRenderedPageBreak/>
        <w:t>využívaní Schengenského informačného systému na účely návratu neoprávnene sa zdržiavajúcich štátnych príslušníkov tretích krajín</w:t>
      </w:r>
      <w:r w:rsidRPr="00DE6DEA">
        <w:rPr>
          <w:rStyle w:val="FootnoteReference"/>
          <w:szCs w:val="24"/>
        </w:rPr>
        <w:footnoteReference w:id="1"/>
      </w:r>
      <w:r w:rsidRPr="00DE6DEA">
        <w:t>, nariadenie Európskeho parlamentu a Rady (EÚ) 2018/1861 z 28. novembra 2018 o zriadení, prevádzke a využívaní Schengenského informačného systému (SIS) v oblasti hraničných kontrol, o zmene Dohovoru, ktorým sa vykonáva Schengenská dohoda, a o zmene a zrušení nariadenia (ES) č. 1987/2006</w:t>
      </w:r>
      <w:r w:rsidRPr="00DE6DEA">
        <w:rPr>
          <w:rStyle w:val="FootnoteReference"/>
          <w:szCs w:val="24"/>
        </w:rPr>
        <w:footnoteReference w:id="2"/>
      </w:r>
      <w:r w:rsidRPr="00DE6DEA">
        <w:t xml:space="preserve"> a nariadenie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smernice Rady a Komisie 2010/261/EÚ</w:t>
      </w:r>
      <w:r w:rsidRPr="00DE6DEA">
        <w:rPr>
          <w:rStyle w:val="FootnoteReference"/>
          <w:szCs w:val="24"/>
        </w:rPr>
        <w:footnoteReference w:id="3"/>
      </w:r>
      <w:r w:rsidRPr="00DE6DEA">
        <w:t xml:space="preserve">, nariadenie Európskeho parlamentu a Rady (EÚ) 2019/817 z 20. mája 2019 o stanovení rámca pre </w:t>
      </w:r>
      <w:proofErr w:type="spellStart"/>
      <w:r w:rsidRPr="00DE6DEA">
        <w:t>interoperabilitu</w:t>
      </w:r>
      <w:proofErr w:type="spellEnd"/>
      <w:r w:rsidRPr="00DE6DEA">
        <w:t xml:space="preserve"> medzi informačnými systémami EÚ v oblasti hraníc a víz a o zmene nariadení Európskeho parlamentu a Rady (ES) č. 767/2008, (EÚ) 2016/399, (EÚ) 2017/2226,</w:t>
      </w:r>
      <w:r w:rsidR="00FA2EF0">
        <w:t xml:space="preserve"> </w:t>
      </w:r>
      <w:r w:rsidR="00FA2EF0" w:rsidRPr="00FA2EF0">
        <w:t>(EÚ) 2018/1240,</w:t>
      </w:r>
      <w:bookmarkStart w:id="9" w:name="_GoBack"/>
      <w:bookmarkEnd w:id="9"/>
      <w:r w:rsidRPr="00DE6DEA">
        <w:t xml:space="preserve"> (EÚ) 2018/1726 a (EÚ) 2018/1861 a rozhodnutí Rady 2004/512/ES a 2008/633/SVV</w:t>
      </w:r>
      <w:r w:rsidRPr="00DE6DEA">
        <w:rPr>
          <w:rStyle w:val="FootnoteReference"/>
          <w:szCs w:val="24"/>
        </w:rPr>
        <w:footnoteReference w:id="4"/>
      </w:r>
      <w:r w:rsidRPr="00DE6DEA">
        <w:t xml:space="preserve">, nariadenie Európskeho parlamentu a Rady (EÚ) 2019/818 z 20. mája 2019 o stanovení rámca pre </w:t>
      </w:r>
      <w:proofErr w:type="spellStart"/>
      <w:r w:rsidRPr="00DE6DEA">
        <w:t>interoperabilitu</w:t>
      </w:r>
      <w:proofErr w:type="spellEnd"/>
      <w:r w:rsidRPr="00DE6DEA">
        <w:t xml:space="preserve"> medzi informačnými systémami EÚ v oblasti policajnej a justičnej spolupráce, azylu a migrácie a o zmene nariadení (EÚ) 2018/1726, (EÚ) 2018/1862 a (EÚ) 2019/816</w:t>
      </w:r>
      <w:r w:rsidRPr="00DE6DEA">
        <w:rPr>
          <w:rStyle w:val="FootnoteReference"/>
          <w:szCs w:val="24"/>
        </w:rPr>
        <w:footnoteReference w:id="5"/>
      </w:r>
      <w:r w:rsidRPr="00DE6DEA">
        <w:t>, nariadenie Európskeho parlamentu a Rady (EÚ) 2018/1240 z 12. septembra 2018, ktorým sa zriaďuje Európsky systém pre cestovné informácie a povolenia (ETIAS) a ktorým sa menia nariadenia (EÚ) č. 1077/2011, (EÚ) č. 515/2014, (EÚ) 2016/399, (EÚ) 2016/1624 a (EÚ) 2017/2226</w:t>
      </w:r>
      <w:r w:rsidRPr="00DE6DEA">
        <w:rPr>
          <w:rStyle w:val="FootnoteReference"/>
          <w:szCs w:val="24"/>
        </w:rPr>
        <w:footnoteReference w:id="6"/>
      </w:r>
      <w:r w:rsidRPr="00DE6DEA">
        <w:t>, nariadenie Európskeho parlamentu a Rady (EÚ) 2018/1241 z 12. septembra 2018, ktorým sa mení nariadenie (EÚ) 2016/794 na účely zriadenia Európskeho systému cestovných informácií a povolení (ETIAS)</w:t>
      </w:r>
      <w:r w:rsidRPr="00DE6DEA">
        <w:rPr>
          <w:rStyle w:val="FootnoteReference"/>
          <w:szCs w:val="24"/>
        </w:rPr>
        <w:footnoteReference w:id="7"/>
      </w:r>
      <w:r w:rsidRPr="00DE6DEA">
        <w:t>, nariadenie Európskeho parlamentu a Rady (EÚ) 2020/493 z 30. marca 2020 o systéme pre falšované a pravé doklady online („systém FADO“), ktorým sa zrušuje jednotná akcia Rady 98/700/SVV</w:t>
      </w:r>
      <w:r w:rsidRPr="00DE6DEA">
        <w:rPr>
          <w:rStyle w:val="FootnoteReference"/>
          <w:szCs w:val="24"/>
        </w:rPr>
        <w:footnoteReference w:id="8"/>
      </w:r>
      <w:r w:rsidRPr="00DE6DEA">
        <w:t>, nariadenie Európskeho parlamentu a Rady (EÚ) 2019/1896 z 13. novembra 2019 o európskej pohraničnej a pobrežnej stráži a zrušení nariadení (EÚ) č. 1052/2013 a (EÚ) 2016/1624</w:t>
      </w:r>
      <w:r w:rsidRPr="00DE6DEA">
        <w:rPr>
          <w:rStyle w:val="FootnoteReference"/>
          <w:szCs w:val="24"/>
        </w:rPr>
        <w:footnoteReference w:id="9"/>
      </w:r>
      <w:r w:rsidRPr="00DE6DEA">
        <w:t xml:space="preserve"> a nariadenie Európskeho parlamentu a Rady (EÚ) 2019/1155 z 20. júna 2019, ktorým sa mení nariadenie (ES) č. 810/2009, ktorým sa ustanovuje vízový kódex Spoločenstva (vízový kódex)</w:t>
      </w:r>
      <w:r w:rsidRPr="00DE6DEA">
        <w:rPr>
          <w:rStyle w:val="FootnoteReference"/>
          <w:szCs w:val="24"/>
        </w:rPr>
        <w:footnoteReference w:id="10"/>
      </w:r>
      <w:r w:rsidRPr="00DE6DEA">
        <w:t>,</w:t>
      </w:r>
    </w:p>
    <w:p w:rsidR="00EA6DF7" w:rsidRPr="00DE6DEA" w:rsidRDefault="00EA6DF7" w:rsidP="00EA6DF7">
      <w:pPr>
        <w:pStyle w:val="NormalHanging12a"/>
        <w:rPr>
          <w:szCs w:val="24"/>
        </w:rPr>
      </w:pPr>
      <w:r w:rsidRPr="00DE6DEA">
        <w:t>–</w:t>
      </w:r>
      <w:r w:rsidRPr="00DE6DEA">
        <w:tab/>
        <w:t>so zreteľom na prebiehajúce legislatívne práce na revízii Kódexu schengenských hraníc, pokiaľ ide o pravidlá uplatniteľné na dočasné obnovenie kontroly na vnútorných hraniciach, na reforme vízového informačného systému, na dokončení legislatívneho rámca pre systém ETIAS, na prepracovaní smernice o návrate, na Nástroji finančnej podpory na riadenie hraníc a víza 2021 – 2027 a na novom návrhu nariadenia, ktorým sa zavádza preverovanie štátnych príslušníkov tretích krajín na vonkajších hraniciach (COM(2020)0612),</w:t>
      </w:r>
    </w:p>
    <w:p w:rsidR="00EA6DF7" w:rsidRPr="00DE6DEA" w:rsidRDefault="00EA6DF7" w:rsidP="00EA6DF7">
      <w:pPr>
        <w:pStyle w:val="NormalHanging12a"/>
        <w:rPr>
          <w:szCs w:val="24"/>
        </w:rPr>
      </w:pPr>
      <w:r w:rsidRPr="00DE6DEA">
        <w:lastRenderedPageBreak/>
        <w:t>–</w:t>
      </w:r>
      <w:r w:rsidRPr="00DE6DEA">
        <w:tab/>
        <w:t>so zreteľom na rôzne závery Európskej rady, odporúčania Rady a oznámenia, usmernenia a plány Komisie zamerané na riešenie situácie na vnútorných a vonkajších schengenských hraniciach v reakcii na</w:t>
      </w:r>
      <w:r w:rsidR="0016275D" w:rsidRPr="00DE6DEA">
        <w:t xml:space="preserve"> ochorenie</w:t>
      </w:r>
      <w:r w:rsidRPr="00DE6DEA">
        <w:t xml:space="preserve"> COVID-19, ako napríklad oznámenie Komisie zo 16. marca 2020 s názvom COVID-19: Usmernenia pre opatrenia v oblasti riadenia hraníc na ochranu zdravia a zabezpečenie dostupnosti tovaru a základných služieb</w:t>
      </w:r>
      <w:r w:rsidRPr="00DE6DEA">
        <w:rPr>
          <w:rStyle w:val="FootnoteReference"/>
        </w:rPr>
        <w:footnoteReference w:id="11"/>
      </w:r>
      <w:r w:rsidRPr="00DE6DEA">
        <w:t xml:space="preserve"> a oznámenie Komisie z 30. marca 2020 s názvom COVID-19: Pokyny na vykonávanie dočasného obmedzenia ciest do EÚ, ktoré nie sú nevyhnutné, na uľahčenie tranzitných opatrení na repatriáciu občanov EÚ a k dôsledkom pre vízovú politiku (C(2020)2050), a ich následné predĺženia, ako napríklad z 8. apríla 2020 (COM(2020)0148), spoločný európsky plán na zrušenie opatrení na zamedzenie šírenia </w:t>
      </w:r>
      <w:r w:rsidR="00CD7997" w:rsidRPr="00DE6DEA">
        <w:t xml:space="preserve">ochorenia </w:t>
      </w:r>
      <w:r w:rsidRPr="00DE6DEA">
        <w:t xml:space="preserve">COVID-19, ktorý predstavili predsedníčka Komisie a predseda Európskej rady, a odporúčanie Rady (EÚ) 2020/1475 z 13. októbra 2020 o koordinovanom prístupe k obmedzeniu voľného pohybu v reakcii na pandémiu </w:t>
      </w:r>
      <w:r w:rsidR="0016275D" w:rsidRPr="00DE6DEA">
        <w:t xml:space="preserve">ochorenia </w:t>
      </w:r>
      <w:r w:rsidRPr="00DE6DEA">
        <w:t>COVID-19</w:t>
      </w:r>
      <w:r w:rsidRPr="00DE6DEA">
        <w:rPr>
          <w:rStyle w:val="FootnoteReference"/>
          <w:szCs w:val="24"/>
        </w:rPr>
        <w:footnoteReference w:id="12"/>
      </w:r>
      <w:r w:rsidRPr="00DE6DEA">
        <w:t>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 xml:space="preserve">so zreteľom na oznámenie Komisie z 22. októbra 2019 o overení úplného uplatňovania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Chorvátskom (COM(2019)0497),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>so zreteľom na oznámenie Komisie z 23. septembra 2020 o Novom pakte o migrácii a azyle (COM(2020)0609),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>so zreteľom na svoje uznesenie z 30. mája 2018 o výročnej správe o fungovaní schengenského priestoru</w:t>
      </w:r>
      <w:r w:rsidRPr="00DE6DEA">
        <w:rPr>
          <w:rStyle w:val="FootnoteReference"/>
          <w:szCs w:val="24"/>
        </w:rPr>
        <w:footnoteReference w:id="13"/>
      </w:r>
      <w:r w:rsidRPr="00DE6DEA">
        <w:t>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>so zreteľom na správu Komisie Rade a Európskemu parlamentu z 25. novembra 2020 o fungovaní schengenského hodnotiaceho a monitorovacieho mechanizmu podľa článku 22 nariadenia Rady (EÚ) č. 1053/2013 (COM(2020)0779),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>so zreteľom na svoje uznesenie z 19. júna 2020 o situácii v schengenskom priestore po v</w:t>
      </w:r>
      <w:r w:rsidR="00CD7997" w:rsidRPr="00DE6DEA">
        <w:t>ýskyte</w:t>
      </w:r>
      <w:r w:rsidRPr="00DE6DEA">
        <w:t xml:space="preserve"> </w:t>
      </w:r>
      <w:r w:rsidR="0016275D" w:rsidRPr="00DE6DEA">
        <w:t xml:space="preserve">ochorenia </w:t>
      </w:r>
      <w:r w:rsidRPr="00DE6DEA">
        <w:t>COVID-19</w:t>
      </w:r>
      <w:r w:rsidRPr="00DE6DEA">
        <w:rPr>
          <w:rStyle w:val="FootnoteReference"/>
          <w:szCs w:val="24"/>
        </w:rPr>
        <w:footnoteReference w:id="14"/>
      </w:r>
      <w:r w:rsidRPr="00DE6DEA">
        <w:t>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 xml:space="preserve">so zreteľom na svoje uznesenie z 11. decembra 2018 o úplnom uplatňovaní ustanovení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v Bulharsku a Rumunsku: zrušenie kontrol na vnútorných pozemných, námorných a vzdušných hraniciach</w:t>
      </w:r>
      <w:r w:rsidRPr="00DE6DEA">
        <w:rPr>
          <w:rStyle w:val="FootnoteReference"/>
          <w:szCs w:val="24"/>
        </w:rPr>
        <w:footnoteReference w:id="15"/>
      </w:r>
      <w:r w:rsidRPr="00DE6DEA">
        <w:t>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>so zreteľom na správu Agentúry Európskej únie pre základné práva (</w:t>
      </w:r>
      <w:r w:rsidR="0016275D" w:rsidRPr="00DE6DEA">
        <w:t>ďalej len „</w:t>
      </w:r>
      <w:r w:rsidRPr="00DE6DEA">
        <w:t>FRA</w:t>
      </w:r>
      <w:r w:rsidR="0016275D" w:rsidRPr="00DE6DEA">
        <w:t>“</w:t>
      </w:r>
      <w:r w:rsidRPr="00DE6DEA">
        <w:t xml:space="preserve">) z 8. decembra 2020 s názvom </w:t>
      </w:r>
      <w:proofErr w:type="spellStart"/>
      <w:r w:rsidRPr="00DE6DEA">
        <w:t>Migration</w:t>
      </w:r>
      <w:proofErr w:type="spellEnd"/>
      <w:r w:rsidRPr="00DE6DEA">
        <w:t xml:space="preserve">: </w:t>
      </w:r>
      <w:proofErr w:type="spellStart"/>
      <w:r w:rsidRPr="00DE6DEA">
        <w:t>fundamental</w:t>
      </w:r>
      <w:proofErr w:type="spellEnd"/>
      <w:r w:rsidRPr="00DE6DEA">
        <w:t xml:space="preserve"> </w:t>
      </w:r>
      <w:proofErr w:type="spellStart"/>
      <w:r w:rsidRPr="00DE6DEA">
        <w:t>rights</w:t>
      </w:r>
      <w:proofErr w:type="spellEnd"/>
      <w:r w:rsidRPr="00DE6DEA">
        <w:t xml:space="preserve"> </w:t>
      </w:r>
      <w:proofErr w:type="spellStart"/>
      <w:r w:rsidRPr="00DE6DEA">
        <w:t>issues</w:t>
      </w:r>
      <w:proofErr w:type="spellEnd"/>
      <w:r w:rsidRPr="00DE6DEA">
        <w:t xml:space="preserve"> at </w:t>
      </w:r>
      <w:proofErr w:type="spellStart"/>
      <w:r w:rsidRPr="00DE6DEA">
        <w:t>land</w:t>
      </w:r>
      <w:proofErr w:type="spellEnd"/>
      <w:r w:rsidRPr="00DE6DEA">
        <w:t xml:space="preserve"> </w:t>
      </w:r>
      <w:proofErr w:type="spellStart"/>
      <w:r w:rsidRPr="00DE6DEA">
        <w:t>borders</w:t>
      </w:r>
      <w:proofErr w:type="spellEnd"/>
      <w:r w:rsidRPr="00DE6DEA">
        <w:t xml:space="preserve"> (Migrácia: otázky základných práv na pozemných hraniciach),</w:t>
      </w:r>
    </w:p>
    <w:p w:rsidR="00EA6DF7" w:rsidRPr="00DE6DEA" w:rsidRDefault="00EA6DF7" w:rsidP="00EA6DF7">
      <w:pPr>
        <w:pStyle w:val="NormalHanging12a"/>
        <w:rPr>
          <w:bCs/>
          <w:iCs/>
          <w:szCs w:val="24"/>
        </w:rPr>
      </w:pPr>
      <w:r w:rsidRPr="00DE6DEA">
        <w:t>–</w:t>
      </w:r>
      <w:r w:rsidRPr="00DE6DEA">
        <w:tab/>
        <w:t>so zreteľom na svoje uznesenie zo 17. decembra 2020 o vykonávaní smernice o návrate</w:t>
      </w:r>
      <w:r w:rsidRPr="00DE6DEA">
        <w:rPr>
          <w:rStyle w:val="FootnoteReference"/>
          <w:bCs/>
          <w:iCs/>
          <w:szCs w:val="24"/>
        </w:rPr>
        <w:footnoteReference w:id="16"/>
      </w:r>
      <w:r w:rsidRPr="00DE6DEA">
        <w:t>,</w:t>
      </w:r>
    </w:p>
    <w:p w:rsidR="00EA6DF7" w:rsidRPr="00DE6DEA" w:rsidRDefault="00EA6DF7" w:rsidP="00EA6DF7">
      <w:pPr>
        <w:pStyle w:val="NormalHanging12a"/>
        <w:rPr>
          <w:bCs/>
          <w:iCs/>
        </w:rPr>
      </w:pPr>
      <w:r w:rsidRPr="00DE6DEA">
        <w:t>–</w:t>
      </w:r>
      <w:r w:rsidRPr="00DE6DEA">
        <w:tab/>
        <w:t xml:space="preserve">so zreteľom na svoje uznesenie z 13. novembra 2020 o vplyve opatrení súvisiacich s </w:t>
      </w:r>
      <w:r w:rsidR="0016275D" w:rsidRPr="00DE6DEA">
        <w:t>o</w:t>
      </w:r>
      <w:r w:rsidR="00CD7997" w:rsidRPr="00DE6DEA">
        <w:t>chorením</w:t>
      </w:r>
      <w:r w:rsidR="0016275D" w:rsidRPr="00DE6DEA">
        <w:t xml:space="preserve"> </w:t>
      </w:r>
      <w:r w:rsidRPr="00DE6DEA">
        <w:t>COVID-19 na demokraciu, právny štát a základné práva</w:t>
      </w:r>
      <w:r w:rsidRPr="00DE6DEA">
        <w:rPr>
          <w:rStyle w:val="FootnoteReference"/>
          <w:bCs/>
          <w:iCs/>
        </w:rPr>
        <w:footnoteReference w:id="17"/>
      </w:r>
      <w:r w:rsidRPr="00DE6DEA">
        <w:t>,</w:t>
      </w:r>
    </w:p>
    <w:p w:rsidR="00EA6DF7" w:rsidRPr="00DE6DEA" w:rsidRDefault="00EA6DF7" w:rsidP="00EA6DF7">
      <w:pPr>
        <w:pStyle w:val="NormalHanging12a"/>
        <w:rPr>
          <w:bCs/>
          <w:iCs/>
        </w:rPr>
      </w:pPr>
      <w:r w:rsidRPr="00DE6DEA">
        <w:lastRenderedPageBreak/>
        <w:t>–</w:t>
      </w:r>
      <w:r w:rsidRPr="00DE6DEA">
        <w:tab/>
        <w:t xml:space="preserve">so zreteľom na zriadenie a prípravné práce pracovnej skupiny Výboru pre občianske slobody, spravodlivosť a vnútorné veci pre kontrolu agentúry </w:t>
      </w:r>
      <w:proofErr w:type="spellStart"/>
      <w:r w:rsidRPr="00DE6DEA">
        <w:t>Frontex</w:t>
      </w:r>
      <w:proofErr w:type="spellEnd"/>
      <w:r w:rsidRPr="00DE6DEA">
        <w:t>,</w:t>
      </w:r>
    </w:p>
    <w:p w:rsidR="00EA6DF7" w:rsidRPr="00DE6DEA" w:rsidRDefault="00EA6DF7" w:rsidP="00EA6DF7">
      <w:pPr>
        <w:pStyle w:val="NormalHanging12a"/>
      </w:pPr>
      <w:r w:rsidRPr="00DE6DEA">
        <w:t>–</w:t>
      </w:r>
      <w:r w:rsidRPr="00DE6DEA">
        <w:tab/>
        <w:t xml:space="preserve">so zreteľom na prípravu tohto uznesenia, ktorú vykonala pracovná skupina Výboru pre občianske slobody, spravodlivosť a vnútorné veci na kontrolu </w:t>
      </w:r>
      <w:proofErr w:type="spellStart"/>
      <w:r w:rsidRPr="00DE6DEA">
        <w:t>Schengenu</w:t>
      </w:r>
      <w:proofErr w:type="spellEnd"/>
      <w:r w:rsidRPr="00DE6DEA">
        <w:t>;</w:t>
      </w:r>
    </w:p>
    <w:p w:rsidR="00EA6DF7" w:rsidRPr="00DE6DEA" w:rsidRDefault="00EA6DF7" w:rsidP="00EA6DF7">
      <w:pPr>
        <w:pStyle w:val="NormalHanging12a"/>
        <w:rPr>
          <w:szCs w:val="24"/>
        </w:rPr>
      </w:pPr>
      <w:r w:rsidRPr="00DE6DEA">
        <w:t>–</w:t>
      </w:r>
      <w:r w:rsidRPr="00DE6DEA">
        <w:tab/>
        <w:t>so zreteľom na článok 54 rokovacieho poriadku,</w:t>
      </w:r>
    </w:p>
    <w:p w:rsidR="00EA6DF7" w:rsidRPr="00DE6DEA" w:rsidRDefault="00EA6DF7" w:rsidP="00EA6DF7">
      <w:pPr>
        <w:pStyle w:val="NormalHanging12a"/>
        <w:rPr>
          <w:szCs w:val="24"/>
        </w:rPr>
      </w:pPr>
      <w:r w:rsidRPr="00DE6DEA">
        <w:t>–</w:t>
      </w:r>
      <w:r w:rsidRPr="00DE6DEA">
        <w:tab/>
        <w:t>so zreteľom na správu Výboru pre občianske slobody, spravodlivosť a vnútorné veci (A9-0183/2021),</w:t>
      </w:r>
    </w:p>
    <w:p w:rsidR="00EA6DF7" w:rsidRPr="00DE6DEA" w:rsidRDefault="00EA6DF7" w:rsidP="00EA6DF7">
      <w:pPr>
        <w:pStyle w:val="NormalHanging12a"/>
        <w:rPr>
          <w:szCs w:val="24"/>
        </w:rPr>
      </w:pPr>
      <w:r w:rsidRPr="00DE6DEA">
        <w:t>A.</w:t>
      </w:r>
      <w:r w:rsidRPr="00DE6DEA">
        <w:rPr>
          <w:b/>
          <w:i/>
        </w:rPr>
        <w:tab/>
      </w:r>
      <w:r w:rsidRPr="00DE6DEA">
        <w:t xml:space="preserve">keďže schengenský priestor je jedinečným mechanizmom a jedným z najväčších úspechov Európskej únie, ktorý už viac ako 25 rokov umožňuje voľný pohyb osôb v schengenskom priestore bez kontrol na vnútorných hraniciach; keďže toto umožnili rôzne kompenzačné opatrenia, ako je posilnenie výmeny informácií zriadením Schengenského informačného systému (SIS) a vytvorenie hodnotiaceho mechanizmu na overenie vykonávania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členskými štátmi a na podporu vzájomnej dôvery vo fungovanie schengenského priestoru; keďže vzájomná dôvera si vyžaduje aj solidaritu, bezpečnosť, súdnu a policajnú spoluprácu v trestných veciach, spoločnú ochranu vonkajších hraníc EÚ, spoločnú dohodu a spoločné politiky v súvislosti s vízami a ochranou údajov;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  <w:rPr>
          <w:b/>
          <w:i/>
        </w:rPr>
      </w:pPr>
      <w:r w:rsidRPr="00DE6DEA">
        <w:t>B.</w:t>
      </w:r>
      <w:r w:rsidRPr="00DE6DEA">
        <w:rPr>
          <w:b/>
          <w:i/>
        </w:rPr>
        <w:tab/>
      </w:r>
      <w:r w:rsidRPr="00DE6DEA">
        <w:t>keďže plne funkčný schengenský priestor a jeho budúce rozšírenie o krajiny, ktoré sú kandidátmi na vstup do schengenského priestoru, majú naďalej kľúčový význam pre ďalšiu politickú, hospodársku a sociálnu integráciu, podporu súdržnosti a preklenutie rozdielov medzi krajinami a regiónmi, a zároveň sú predpokladom zachovania zásady slobody pohybu; keďže budúcnosť schengenského priestoru sa nesmie vyznačovať žiadnou roztrieštenosťou;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  <w:rPr>
          <w:b/>
          <w:i/>
        </w:rPr>
      </w:pPr>
      <w:r w:rsidRPr="00DE6DEA">
        <w:t>C.</w:t>
      </w:r>
      <w:r w:rsidRPr="00DE6DEA">
        <w:rPr>
          <w:b/>
          <w:i/>
        </w:rPr>
        <w:tab/>
      </w:r>
      <w:r w:rsidRPr="00DE6DEA">
        <w:t>keďže zrušenie kontrol na vnútorných hraniciach je základným praktickým prvkom toho, čo si občania stotožňujú s európskou myšlienkou, a má zásadný význam pre fungovanie vnútorného trhu; keďže schengenský priestor je ohrozený, v neposlednom rade vzhľadom na to, že členské štáty najmä v posledných rokoch čoraz intenzívnejšie využívajú kontroly na vnútorných hraniciach;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  <w:rPr>
          <w:b/>
          <w:i/>
        </w:rPr>
      </w:pPr>
      <w:r w:rsidRPr="00DE6DEA">
        <w:t>D.</w:t>
      </w:r>
      <w:r w:rsidRPr="00DE6DEA">
        <w:tab/>
        <w:t>keďže väčšina členských štátov vrátane štátov pridružených k Schengenskému priestoru v reakcii na pandémiu ochorenia COVID-19 obnovila kontroly na vnútorných hraniciach alebo svoje hranice uzavrela, či už čiastočne, alebo úplne, alebo ich zatvorila pre určité druhy cestujúcich vrátane občanov EÚ a ich rodinných príslušníkov a štátnych príslušníkov nečlenských krajín EÚ s pobytom na ich území alebo na území iného členského štátu; keďže absencia účinnej koordinácie pri obnovení a zrušení kontrol na vnútorných hraniciach medzi členskými štátmi a s Komisiou postavila samotnú koncepciu schengenskej spolupráce, najmä na začiatku pandémie, pred náročnú výzvu;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E.</w:t>
      </w:r>
      <w:r w:rsidRPr="00DE6DEA">
        <w:tab/>
        <w:t xml:space="preserve">keďže členské štáty od roku 2015 opätovne zaviedli kontroly na vnútorných hraniciach celkovo 268-krát, čo predstavuje výrazný nárast v porovnaní s obdobím medzi rokmi </w:t>
      </w:r>
      <w:r w:rsidRPr="00DE6DEA">
        <w:lastRenderedPageBreak/>
        <w:t>2006 a 2014, keď sa kontroly na vnútorných hraniciach opätovne zaviedli len 35-krát</w:t>
      </w:r>
      <w:r w:rsidRPr="00DE6DEA">
        <w:rPr>
          <w:rStyle w:val="FootnoteReference"/>
        </w:rPr>
        <w:footnoteReference w:id="18"/>
      </w:r>
      <w:r w:rsidRPr="00DE6DEA">
        <w:rPr>
          <w:rStyle w:val="FootnoteReference"/>
          <w:vertAlign w:val="baseline"/>
        </w:rPr>
        <w:t>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F.</w:t>
      </w:r>
      <w:r w:rsidRPr="00DE6DEA">
        <w:tab/>
        <w:t>keďže Európsky parlament opakovane vyjadril znepokojenie nad nutnosťou a proporcionalitou mnohých z týchto kontrol na vnútorných hraniciach;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G.</w:t>
      </w:r>
      <w:r w:rsidRPr="00DE6DEA">
        <w:tab/>
        <w:t>keďže vzájomná dôvera a úzka spolupráca medzi členskými štátmi sú kľúčové prvky základov, na ktorých bol vybudovaný schengenský priestor;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H.</w:t>
      </w:r>
      <w:r w:rsidRPr="00DE6DEA">
        <w:tab/>
        <w:t xml:space="preserve">keďže v posledných rokoch boli prijaté dôležité legislatívne nástroje EÚ s cieľom zlepšiť účinnosť a efektívnosť kontrol na vonkajších hraniciach a prispieť k vysokej úrovni bezpečnosti v rámci priestoru slobody, bezpečnosti a spravodlivosti; keďže tieto nástroje zahŕňajú novú štruktúru informačných systémov EÚ a ich </w:t>
      </w:r>
      <w:proofErr w:type="spellStart"/>
      <w:r w:rsidRPr="00DE6DEA">
        <w:t>interoperabilitu</w:t>
      </w:r>
      <w:proofErr w:type="spellEnd"/>
      <w:r w:rsidRPr="00DE6DEA">
        <w:t>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I.</w:t>
      </w:r>
      <w:r w:rsidRPr="00DE6DEA">
        <w:tab/>
        <w:t xml:space="preserve">keďže naďalej sa objavujú správy o údajnom násilí páchanom na migrantoch, a to aj na tých, ktorí žiadajú o medzinárodnú ochranu, a odopretí vstupu migrantom na viacerých vonkajších hraniciach EÚ; keďže Európsky parlament, OLAF, </w:t>
      </w:r>
      <w:proofErr w:type="spellStart"/>
      <w:r w:rsidRPr="00DE6DEA">
        <w:t>Frontex</w:t>
      </w:r>
      <w:proofErr w:type="spellEnd"/>
      <w:r w:rsidRPr="00DE6DEA">
        <w:t xml:space="preserve"> a európska ombudsmanka začali vyšetrovať tieto obvinenia; keďže Únia ešte nemá účinný mechanizmus na monitorovanie dodržiavania základných práv na jej vonkajších hraniciach;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J.</w:t>
      </w:r>
      <w:r w:rsidRPr="00DE6DEA">
        <w:tab/>
        <w:t xml:space="preserve">keďže v schengenskom hodnotení Spojeného kráľovstva v roku 2017 o uplatňovaní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v oblasti Schengenského informačného systému boli zistené vážne nedostatky;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K.</w:t>
      </w:r>
      <w:r w:rsidRPr="00DE6DEA">
        <w:tab/>
        <w:t>keďže prvý cyklus hodnotenia schengenského hodnotiaceho mechanizmu poukázal na potrebu lepšieho a rýchlejšieho vykonávania odporúčaní vyplývajúcich z hodnotení a potrebu primeranej reformy, najmä pokiaľ ide o to, ako sa v rámci mechanizmu posudzuje dodržiavanie základných práv;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L.</w:t>
      </w:r>
      <w:r w:rsidRPr="00DE6DEA">
        <w:tab/>
        <w:t xml:space="preserve">keďže v každoročných posúdeniach zraniteľnosti vykonaných agentúrou </w:t>
      </w:r>
      <w:proofErr w:type="spellStart"/>
      <w:r w:rsidRPr="00DE6DEA">
        <w:t>Frontex</w:t>
      </w:r>
      <w:proofErr w:type="spellEnd"/>
      <w:r w:rsidRPr="00DE6DEA">
        <w:t xml:space="preserve"> sa skúmajú schopnosti členských štátov čeliť hrozbám a výzvam na vonkajších hraniciach a odporúčajú konkrétne nápravné opatrenia na zmiernenie zraniteľnosti, a preto tieto posúdenia dopĺňajú hodnotenia v rámci schengenského hodnotiaceho mechanizmu;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</w:pPr>
      <w:r w:rsidRPr="00DE6DEA">
        <w:t>M.</w:t>
      </w:r>
      <w:r w:rsidRPr="00DE6DEA">
        <w:tab/>
        <w:t xml:space="preserve">keďže sa zatiaľ nedosiahlo úplné uplatňovanie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, pokiaľ ide o zrušenie kontrol na vnútorných hraniciach v prípade Bulharska a Rumunska, a to aj napriek tomu, že </w:t>
      </w:r>
      <w:r w:rsidR="0016275D" w:rsidRPr="00DE6DEA">
        <w:t>Európsky p</w:t>
      </w:r>
      <w:r w:rsidRPr="00DE6DEA">
        <w:t>arlament v tomto smere vyjadril výzvu vo svojom uznesení z 8. júna 2011;</w:t>
      </w:r>
    </w:p>
    <w:p w:rsidR="00EA6DF7" w:rsidRPr="00DE6DEA" w:rsidRDefault="00EA6DF7" w:rsidP="00EA6DF7">
      <w:pPr>
        <w:tabs>
          <w:tab w:val="left" w:pos="567"/>
        </w:tabs>
        <w:spacing w:after="240"/>
        <w:ind w:left="567" w:hanging="567"/>
        <w:rPr>
          <w:szCs w:val="24"/>
        </w:rPr>
      </w:pPr>
      <w:r w:rsidRPr="00DE6DEA">
        <w:t>N.</w:t>
      </w:r>
      <w:r w:rsidRPr="00DE6DEA">
        <w:tab/>
        <w:t xml:space="preserve">keďže Komisia vo svojom oznámení o overení úplného uplatňovania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z 22. októbra 2019 uviedla, že Chorvátsko prijalo opatrenia potrebné na zabezpečenie podmienok potrebných na úplné uplatňovanie schengenských pravidiel;</w:t>
      </w:r>
    </w:p>
    <w:p w:rsidR="00EA6DF7" w:rsidRPr="00DE6DEA" w:rsidRDefault="00EA6DF7" w:rsidP="00EA6DF7">
      <w:pPr>
        <w:pStyle w:val="NormalHanging12a"/>
        <w:ind w:left="0" w:firstLine="0"/>
      </w:pPr>
      <w:r w:rsidRPr="00DE6DEA">
        <w:rPr>
          <w:b/>
          <w:i/>
        </w:rPr>
        <w:t>Fungovanie schengenského priestoru</w:t>
      </w:r>
    </w:p>
    <w:p w:rsidR="00EA6DF7" w:rsidRPr="00DE6DEA" w:rsidRDefault="00EA6DF7" w:rsidP="00EA6DF7">
      <w:pPr>
        <w:pStyle w:val="NormalHanging12a"/>
        <w:rPr>
          <w:b/>
          <w:bCs/>
          <w:i/>
          <w:iCs/>
          <w:szCs w:val="24"/>
        </w:rPr>
      </w:pPr>
      <w:r w:rsidRPr="00DE6DEA">
        <w:t>1.</w:t>
      </w:r>
      <w:r w:rsidRPr="00DE6DEA">
        <w:tab/>
        <w:t xml:space="preserve">domnieva sa, že pre samotnú koncepciu schengenskej spolupráce, ktorej podstatou je zabezpečenie absencie kontrol na vnútorných hraniciach a zaručenie slobody pohybu, znamená pandémia </w:t>
      </w:r>
      <w:r w:rsidR="000F7F16" w:rsidRPr="00DE6DEA">
        <w:t xml:space="preserve">ochorenia </w:t>
      </w:r>
      <w:r w:rsidRPr="00DE6DEA">
        <w:t xml:space="preserve">COVID-19 naďalej náročnú výzvu; v tejto súvislosti </w:t>
      </w:r>
      <w:r w:rsidRPr="00DE6DEA">
        <w:lastRenderedPageBreak/>
        <w:t>opakuje svoje znepokojenie nad súčasnou situáciou, pokiaľ ide o kontroly na vnútorných hraniciach v niektorých členských štátoch, a preto pripomína, že hoci plne podporuje opatrenia v oblasti verejného zdravia zavedené na obmedzenie šírenia ochorenia COVID-19, všetky takéto opatrenia na boj proti pandémii a obmedzenie základných práv a slobôd by mali vždy rešpektovať ducha aj literu zákona;</w:t>
      </w:r>
    </w:p>
    <w:p w:rsidR="00EA6DF7" w:rsidRPr="00DE6DEA" w:rsidRDefault="00EA6DF7" w:rsidP="00EA6DF7">
      <w:pPr>
        <w:pStyle w:val="NormalHanging12a"/>
      </w:pPr>
      <w:r w:rsidRPr="00DE6DEA">
        <w:t>2.</w:t>
      </w:r>
      <w:r w:rsidRPr="00DE6DEA">
        <w:tab/>
      </w:r>
      <w:r w:rsidRPr="00DE6DEA">
        <w:rPr>
          <w:color w:val="212121"/>
          <w:shd w:val="clear" w:color="auto" w:fill="FFFFFF"/>
        </w:rPr>
        <w:t>pripomína, že podľa súčasných právnych predpisov EÚ sa kontroly vnútorných hraníc môžu obnoviť za predpokladu, že sú potrebné, primerané, dočasné a predstavujú krajné riešenie; v tejto súvislosti opakuje</w:t>
      </w:r>
      <w:r w:rsidRPr="00DE6DEA">
        <w:t xml:space="preserve"> svoj názor, že mnohé predĺženia kontrol vnútorných hraníc od roku 2015 nie sú dostatočne podložené a nie sú v súlade s pravidlami týkajúcimi sa ich rozšírenia, nevyhnutnosti alebo proporcionality, a preto sú nezákonné;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3.</w:t>
      </w:r>
      <w:r w:rsidRPr="00DE6DEA">
        <w:tab/>
        <w:t xml:space="preserve">berie na vedomie, že Komisia sa snaží koordinovať spoločnú európsku reakciu; vyjadruje však poľutovanie nad skutočnosťou, že členské štáty naďalej zavádzajú kontroly na vnútorných hraniciach, často nekoordinovaným spôsobom pred náležitým zvážením spoločného európskeho záujmu na zachovaní </w:t>
      </w:r>
      <w:proofErr w:type="spellStart"/>
      <w:r w:rsidRPr="00DE6DEA">
        <w:t>Schengenu</w:t>
      </w:r>
      <w:proofErr w:type="spellEnd"/>
      <w:r w:rsidRPr="00DE6DEA">
        <w:t xml:space="preserve"> ako priestoru bez kontrol na vnútorných hraniciach; opakuje, že zavedené kontroly mali negatívny vplyv na voľný pohyb tovaru, kapitálu, služieb a osôb v Únii; v tejto súvislosti zdôrazňuje mimoriadne zložitú situáciu cezhraničných pracovníkov;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4.</w:t>
      </w:r>
      <w:r w:rsidRPr="00DE6DEA">
        <w:tab/>
        <w:t xml:space="preserve">pripomína, že napriek tomu, že Komisia zistila závažné nedostatky vo vykonávaní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>, pomaly alebo úplne odmieta začať konanie o nesplnení povinnosti;</w:t>
      </w:r>
      <w:r w:rsidRPr="00DE6DEA">
        <w:rPr>
          <w:b/>
          <w:i/>
        </w:rPr>
        <w:t xml:space="preserve"> </w:t>
      </w:r>
      <w:r w:rsidRPr="00DE6DEA">
        <w:t xml:space="preserve">opakuje svoju výzvu Komisii, aby vykonala primeranú kontrolu uplatňovania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>, posúdila, či boli dodržané zásady nevyhnutnosti a proporcionality, a aby v prípade potreby využila konania o nesplnení povinnosti; zdôrazňuje naliehavú potrebu posilniť vzájomnú dôveru a spoluprácu medzi schengenskými štátmi a zabezpečiť primeranú správu schengenského priestoru;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5.</w:t>
      </w:r>
      <w:r w:rsidRPr="00DE6DEA">
        <w:tab/>
        <w:t xml:space="preserve">opakuje, že je potrebné, aby členské štáty dodržiavali právo zakotvené v zmluvách a </w:t>
      </w:r>
      <w:r w:rsidR="00EB49B8" w:rsidRPr="00DE6DEA">
        <w:t>c</w:t>
      </w:r>
      <w:r w:rsidRPr="00DE6DEA">
        <w:t>harte a aby vykonávali opatrenia na hraniciach zákonným a nediskriminačným spôsobom; považuje pravidelnú politickú a verejnú diskusiu o fungovaní schengenského priestoru za zásadne dôležitú;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6.</w:t>
      </w:r>
      <w:r w:rsidRPr="00DE6DEA">
        <w:tab/>
        <w:t xml:space="preserve">konštatuje, že v tomto legislatívnom období sa doteraz nedosiahol žiadny pokrok v revízii Kódexu schengenských hraníc, v súvislosti s ktorou Rada naďalej blokuje </w:t>
      </w:r>
      <w:proofErr w:type="spellStart"/>
      <w:r w:rsidRPr="00DE6DEA">
        <w:t>medziinštitucionálne</w:t>
      </w:r>
      <w:proofErr w:type="spellEnd"/>
      <w:r w:rsidRPr="00DE6DEA">
        <w:t xml:space="preserve"> rokovania; víta oznámenie Komisie, že predloží nové návrhy týkajúce sa správy schengenského priestoru; vyjadruje sklamanie nad tým, že Komisia naďalej zanedbáva svoju povinnosť informovať </w:t>
      </w:r>
      <w:r w:rsidR="0016275D" w:rsidRPr="00DE6DEA">
        <w:t>Európsky p</w:t>
      </w:r>
      <w:r w:rsidRPr="00DE6DEA">
        <w:t>arlament tým, že mu nepredložila výročnú správu o fungovaní priestoru bez kontroly vnútorných hraníc (článok 33 Kódexu schengenských hraníc) a komplexnú výročnú správu v súlade s článkom 20 nariadenia o schengenskom hodnotiacom mechanizme, čím bráni kontrole a konštruktívnej politickej diskusii;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7.</w:t>
      </w:r>
      <w:r w:rsidRPr="00DE6DEA">
        <w:tab/>
        <w:t xml:space="preserve">v nadväznosti na svoje početné žiadosti o úplné uplatnenie ustanovení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v Bulharsku a Rumunsku naliehavo žiada Radu, aby dodržala svoj záväzok a prijala okamžité rozhodnutie o zrušení kontrol na vnútorných pozemných, námorných a vzdušných hraniciach, a tak týmto krajinám umožnila oprávnene vstúpiť do priestoru voľného pohybu bez kontrol vnútorných hraníc; po konzultácii s Radou v súlade s článkom 4 aktu o pristúpení je pripravený vyjadriť svoje stanovisko k úplnému uplatňovaniu ustanovení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v Chorvátsku; domnieva sa, že solidarita a zodpovednosť platia pre všetkých a že budúcnosť schengenského priestoru </w:t>
      </w:r>
      <w:r w:rsidRPr="00DE6DEA">
        <w:lastRenderedPageBreak/>
        <w:t>sa nesmie vyznačovať žiadnou roztrieštenosťou;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8.</w:t>
      </w:r>
      <w:r w:rsidRPr="00DE6DEA">
        <w:tab/>
        <w:t>domnieva sa, že je nevyhnutné, aby bola vízová politika EÚ efektívna, používateľsky ústretová a bezpečná, a v tejto súvislosti víta zámer Komisie digitalizovať do roku 2025 konanie o udelení víza; domnieva sa, že integrácia štátnych príslušníkov tretích krajín, ktorí majú dlhodobý pobyt v členských štátoch, je kľúčovým prvkom podpory hospodárskej a sociálnej súdržnosti, a preto žiada, aby sa zvážila harmonizácia minimálnych pravidiel vydávania dlhodobých víz a povolení na pobyt;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9.</w:t>
      </w:r>
      <w:r w:rsidRPr="00DE6DEA">
        <w:tab/>
        <w:t>opätovne pripomína svoju výzvu členským štátom, aby zabezpečili riadne vykonávanie všetkých aspektov smernice o návrate</w:t>
      </w:r>
      <w:r w:rsidR="00217374" w:rsidRPr="00DE6DEA">
        <w:rPr>
          <w:rStyle w:val="FootnoteReference"/>
        </w:rPr>
        <w:footnoteReference w:id="19"/>
      </w:r>
      <w:r w:rsidRPr="00DE6DEA">
        <w:t>, a vyzýva Komisiu, aby monitorovala jej vykonávanie;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10.</w:t>
      </w:r>
      <w:r w:rsidRPr="00DE6DEA">
        <w:tab/>
        <w:t>podporuje členské štáty, aby posilnili výmenu informácií a ďalej rozvíjali vzájomnú cezhraničnú policajnú spoluprácu, napríklad prostredníctvom zvýšeného využívania spoločných vyšetrovacích tímov;</w:t>
      </w:r>
    </w:p>
    <w:p w:rsidR="00EA6DF7" w:rsidRPr="00DE6DEA" w:rsidRDefault="00EA6DF7" w:rsidP="00EA6DF7">
      <w:pPr>
        <w:pStyle w:val="NormalHanging12a"/>
        <w:rPr>
          <w:b/>
          <w:i/>
          <w:szCs w:val="24"/>
        </w:rPr>
      </w:pPr>
      <w:r w:rsidRPr="00DE6DEA">
        <w:t>11</w:t>
      </w:r>
      <w:r w:rsidRPr="0048306D">
        <w:t>.</w:t>
      </w:r>
      <w:r w:rsidRPr="00DE6DEA">
        <w:rPr>
          <w:b/>
          <w:i/>
        </w:rPr>
        <w:tab/>
      </w:r>
      <w:r w:rsidRPr="00DE6DEA">
        <w:t>víta skutočnosť, že medzičasom sa vykonalo niekoľko opatrení požadovaných v predchádzajúcej výročnej správe</w:t>
      </w:r>
      <w:r w:rsidRPr="00DE6DEA">
        <w:rPr>
          <w:vertAlign w:val="superscript"/>
        </w:rPr>
        <w:footnoteReference w:id="20"/>
      </w:r>
      <w:r w:rsidRPr="00DE6DEA">
        <w:t xml:space="preserve"> (revízia legislatívneho rámca Schengenského informačného systému a reforma systému </w:t>
      </w:r>
      <w:proofErr w:type="spellStart"/>
      <w:r w:rsidRPr="00DE6DEA">
        <w:t>Eurosur</w:t>
      </w:r>
      <w:proofErr w:type="spellEnd"/>
      <w:r w:rsidRPr="00DE6DEA">
        <w:t>); konštatuje však, že väčšina formulovaných odporúčaní zostáva naďalej v platnosti;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12.</w:t>
      </w:r>
      <w:r w:rsidRPr="00DE6DEA">
        <w:tab/>
        <w:t xml:space="preserve">upozorňuje, že účinné fungovanie vonkajších hraníc má zásadný význam pre životaschopnosť schengenského priestoru; so znepokojením konštatuje, že schengenské hodnotiace správy a posúdenia zraniteľnosti naďalej poukazujú na nedostatky a zraniteľnosti v ochrane a riadení vonkajších hraníc; vyzýva členské štáty, aby vykonali odporúčania, ktoré im adresovali Rada a </w:t>
      </w:r>
      <w:proofErr w:type="spellStart"/>
      <w:r w:rsidRPr="00DE6DEA">
        <w:t>Frontex</w:t>
      </w:r>
      <w:proofErr w:type="spellEnd"/>
      <w:r w:rsidRPr="00DE6DEA">
        <w:t>, zamerané na nápravu nedostatkov a zraniteľností, najmä tie odporúčania, ktoré sa týkajú dodržiavania základných práv v rámci činností riadenia hraníc; zdôrazňuje význam nedávno prijatých legislatívnych opatrení;</w:t>
      </w:r>
    </w:p>
    <w:p w:rsidR="00EA6DF7" w:rsidRPr="00DE6DEA" w:rsidRDefault="00EA6DF7" w:rsidP="00EA6DF7">
      <w:pPr>
        <w:pStyle w:val="NormalHanging12a"/>
        <w:rPr>
          <w:b/>
          <w:i/>
          <w:szCs w:val="24"/>
        </w:rPr>
      </w:pPr>
      <w:r w:rsidRPr="00DE6DEA">
        <w:t>13</w:t>
      </w:r>
      <w:r w:rsidRPr="00DE6DEA">
        <w:rPr>
          <w:b/>
          <w:i/>
        </w:rPr>
        <w:t>.</w:t>
      </w:r>
      <w:r w:rsidRPr="00DE6DEA">
        <w:rPr>
          <w:b/>
          <w:i/>
        </w:rPr>
        <w:tab/>
      </w:r>
      <w:r w:rsidRPr="00DE6DEA">
        <w:t xml:space="preserve">vyjadruje znepokojenie nad vplyvom existujúcich cestovných obmedzení na práva utečencov a osôb žiadajúcich o medzinárodnú ochranu; vyzýva Komisiu a členské štáty, aby zabezpečili, že prijatie takýchto opatrení bude plne v súlade s požiadavkami zakotvenými v článkoch 3 a 4 Kódexu schengenských hraníc a v </w:t>
      </w:r>
      <w:r w:rsidR="00EB49B8" w:rsidRPr="00DE6DEA">
        <w:t>c</w:t>
      </w:r>
      <w:r w:rsidRPr="00DE6DEA">
        <w:t>harte;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14.</w:t>
      </w:r>
      <w:r w:rsidRPr="00DE6DEA">
        <w:tab/>
        <w:t xml:space="preserve">vyjadruje hlboké znepokojenie nad opakovanými obvineniami týkajúcimi sa zapojenia agentúry </w:t>
      </w:r>
      <w:proofErr w:type="spellStart"/>
      <w:r w:rsidRPr="00DE6DEA">
        <w:t>Frontex</w:t>
      </w:r>
      <w:proofErr w:type="spellEnd"/>
      <w:r w:rsidRPr="00DE6DEA">
        <w:t xml:space="preserve"> do odopretí vstupu a ohlásených prípadných porušení základných práv v súvislosti s činnosťami agentúry a domnieva sa, že je potrebné posilniť a účinne uplatňovať vnútorné mechanizmy nahlasovania, ako aj parlamentnú a verejnú kontrolu činností agentúry </w:t>
      </w:r>
      <w:proofErr w:type="spellStart"/>
      <w:r w:rsidRPr="00DE6DEA">
        <w:t>Frontex</w:t>
      </w:r>
      <w:proofErr w:type="spellEnd"/>
      <w:r w:rsidRPr="00DE6DEA">
        <w:t xml:space="preserve">; zdôrazňuje, že v článku 46 nariadenia </w:t>
      </w:r>
      <w:r w:rsidR="00AB2D03" w:rsidRPr="00DE6DEA">
        <w:t>o európskej pohraničnej a pobrežnej stráži</w:t>
      </w:r>
      <w:r w:rsidRPr="00DE6DEA">
        <w:t xml:space="preserve"> sa výkonný riaditeľ agentúry </w:t>
      </w:r>
      <w:proofErr w:type="spellStart"/>
      <w:r w:rsidRPr="00DE6DEA">
        <w:t>Frontex</w:t>
      </w:r>
      <w:proofErr w:type="spellEnd"/>
      <w:r w:rsidRPr="00DE6DEA">
        <w:t xml:space="preserve"> poveruje, aby pozastavil, ukončil alebo nezačal činnosti, ak sa porušia podmienky vykonávania týchto činností vrátane dodržania základných práv;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15.</w:t>
      </w:r>
      <w:r w:rsidRPr="00DE6DEA">
        <w:tab/>
      </w:r>
      <w:r w:rsidRPr="00DE6DEA">
        <w:rPr>
          <w:color w:val="212121"/>
          <w:shd w:val="clear" w:color="auto" w:fill="FFFFFF"/>
        </w:rPr>
        <w:t xml:space="preserve">v tejto súvislosti vyjadruje plnú podporu vytvoreniu a prebiehajúcej práci pracovnej </w:t>
      </w:r>
      <w:r w:rsidRPr="00DE6DEA">
        <w:rPr>
          <w:color w:val="212121"/>
          <w:shd w:val="clear" w:color="auto" w:fill="FFFFFF"/>
        </w:rPr>
        <w:lastRenderedPageBreak/>
        <w:t xml:space="preserve">skupiny Výboru pre občianske slobody, spravodlivosť a vnútorné veci pre kontrolu agentúry </w:t>
      </w:r>
      <w:proofErr w:type="spellStart"/>
      <w:r w:rsidRPr="00DE6DEA">
        <w:rPr>
          <w:color w:val="212121"/>
          <w:shd w:val="clear" w:color="auto" w:fill="FFFFFF"/>
        </w:rPr>
        <w:t>Frontex</w:t>
      </w:r>
      <w:proofErr w:type="spellEnd"/>
      <w:r w:rsidRPr="00DE6DEA">
        <w:rPr>
          <w:color w:val="212121"/>
          <w:shd w:val="clear" w:color="auto" w:fill="FFFFFF"/>
        </w:rPr>
        <w:t xml:space="preserve">, ktorej cieľom je posúdiť všetky aspekty fungovania a organizácie agentúry </w:t>
      </w:r>
      <w:proofErr w:type="spellStart"/>
      <w:r w:rsidRPr="00DE6DEA">
        <w:rPr>
          <w:color w:val="212121"/>
          <w:shd w:val="clear" w:color="auto" w:fill="FFFFFF"/>
        </w:rPr>
        <w:t>Frontex</w:t>
      </w:r>
      <w:proofErr w:type="spellEnd"/>
      <w:r w:rsidRPr="00DE6DEA">
        <w:rPr>
          <w:color w:val="212121"/>
          <w:shd w:val="clear" w:color="auto" w:fill="FFFFFF"/>
        </w:rPr>
        <w:t xml:space="preserve">, jej posilnenú úlohu a zdroje na integrované riadenie hraníc a správne uplatňovanie </w:t>
      </w:r>
      <w:proofErr w:type="spellStart"/>
      <w:r w:rsidRPr="00DE6DEA">
        <w:rPr>
          <w:i/>
          <w:color w:val="212121"/>
          <w:shd w:val="clear" w:color="auto" w:fill="FFFFFF"/>
        </w:rPr>
        <w:t>acquis</w:t>
      </w:r>
      <w:proofErr w:type="spellEnd"/>
      <w:r w:rsidRPr="00DE6DEA">
        <w:rPr>
          <w:color w:val="212121"/>
          <w:shd w:val="clear" w:color="auto" w:fill="FFFFFF"/>
        </w:rPr>
        <w:t xml:space="preserve"> EÚ vrátane dodržiavania základných práv;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16.</w:t>
      </w:r>
      <w:r w:rsidRPr="00DE6DEA">
        <w:tab/>
        <w:t xml:space="preserve">vyjadruje hlboké znepokojenie nad vysokým počtom úmrtí v Stredozemí; pripomína, že poskytnutie pomoci každej osobe v núdzi na mori je zákonnou povinnosťou podľa práva EÚ aj medzinárodného práva a že pátranie a záchrana sú podľa nariadenia o európskej pohraničnej a pobrežnej stráži neoddeliteľnou súčasťou európskeho integrovaného riadenia hraníc; vyzýva agentúru </w:t>
      </w:r>
      <w:proofErr w:type="spellStart"/>
      <w:r w:rsidRPr="00DE6DEA">
        <w:t>Frontex</w:t>
      </w:r>
      <w:proofErr w:type="spellEnd"/>
      <w:r w:rsidRPr="00DE6DEA">
        <w:t xml:space="preserve">, aby výrazne zlepšila dostupné informácie o svojich operačných činnostiach na mori, a to aj prostredníctvom pravidelného a primeraného podávania správ </w:t>
      </w:r>
      <w:r w:rsidR="0016275D" w:rsidRPr="00DE6DEA">
        <w:t>Európskeho p</w:t>
      </w:r>
      <w:r w:rsidRPr="00DE6DEA">
        <w:t>arlamentu, napríklad o svojej spolupráci s námorným záchranným koordinačným centrom v Tripolise a líbyjskou pobrežnou strážou;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17.</w:t>
      </w:r>
      <w:r w:rsidRPr="00DE6DEA">
        <w:tab/>
        <w:t>vyjadruje hlboké znepokojenie nad pretrvávajúcimi a vážnymi správami o násilí a navracaní na vonkajších hraniciach, a to aj z jedného členského štátu do druhého a potom do krajiny mimo EÚ;</w:t>
      </w:r>
      <w:r w:rsidRPr="00DE6DEA">
        <w:rPr>
          <w:b/>
          <w:i/>
        </w:rPr>
        <w:t xml:space="preserve"> </w:t>
      </w:r>
      <w:r w:rsidRPr="00DE6DEA">
        <w:t>opakuje, že členské štáty sú povinné zabrániť neoprávnenému prekračovaniu hraníc, a pripomína, že touto povinnosťou nie sú dotknuté práva osôb žiadajúcich o medzinárodnú ochranu; vyzýva Komisiu a členské štáty, aby podporovali a vykonávali účinné, nezávislé a rýchle vyšetrovania akýchkoľvek obvinení z odopretia vstupu a zlého zaobchádzania na hraniciach a aby zabezpečili okamžitú nápravu nedostatkov;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18.</w:t>
      </w:r>
      <w:r w:rsidRPr="00DE6DEA">
        <w:tab/>
        <w:t xml:space="preserve">berie na vedomie nedostatok primeraných monitorovacích mechanizmov na zabezpečenie dodržiavania základných práv a zásad právneho štátu pri riadení vonkajších hraníc a domnieva sa, že Agentúra Európskej únie pre základné práva (FRA) musí mať v tejto súvislosti výraznejšiu operačnú úlohu, a to aj prostredníctvom schengenského hodnotiaceho a monitorovacieho mechanizmu; vyzýva členské štáty, aby zabezpečili účinné zriadenie vnútroštátnych monitorovacích orgánov, ktoré budú schopné plniť svoju úlohu prostredníctvom dostatočných zdrojov, primeraného mandátu a vysokej úrovne nezávislosti; nabáda členské štáty, aby neustále investovali do profesionálneho správania pohraničných orgánov, okrem iného prostredníctvom odbornej prípravy v oblasti azylového a utečeneckého práva v koordinácii s agentúrami </w:t>
      </w:r>
      <w:proofErr w:type="spellStart"/>
      <w:r w:rsidRPr="00DE6DEA">
        <w:t>Frontex</w:t>
      </w:r>
      <w:proofErr w:type="spellEnd"/>
      <w:r w:rsidRPr="00DE6DEA">
        <w:t xml:space="preserve"> a FRA, s UNHCR a príslušnými mimovládnymi organizáciami;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19.</w:t>
      </w:r>
      <w:r w:rsidRPr="00DE6DEA">
        <w:tab/>
        <w:t>vyjadruje hlboké poľutovanie nad skutočnosťou, že došlo k oneskoreniam pri vykonávaní ustanovení o základných právach v novom nariadení o európskej pohraničnej a pobrežnej stráži, napríklad pri prijatí 40 členov monitorovacej skupiny pre základné práva do 5. decembra 2020, ktoré je ustanovené v nariadení; víta zverejnenie oznámení o voľných pracovných miestach a vyzýva na urýchlené uskutočnenie prebiehajúceho náboru zamestnancov; zdôrazňuje, že všetci členovia monitorovacej skupiny musia byť schopní plniť si úlohy v súlade s článkom 110 nariadenia o európskej pohraničnej a pobrežnej stráži, a preto musia byť na plnenie svojich úloh prijatí na primeranej administratívnej úrovni; ďalej žiada, aby sa zvýšila nezávislosť mechanizmu agentúry na podávanie sťažností prostredníctvom zapojenia odborníkov z FRA a vnútroštátnych inštitúcií pre ľudské práva;</w:t>
      </w:r>
    </w:p>
    <w:p w:rsidR="00EA6DF7" w:rsidRPr="00DE6DEA" w:rsidRDefault="00EA6DF7" w:rsidP="00EA6DF7">
      <w:pPr>
        <w:pStyle w:val="NormalHanging12a"/>
        <w:ind w:left="0" w:firstLine="0"/>
      </w:pPr>
      <w:r w:rsidRPr="00DE6DEA">
        <w:rPr>
          <w:b/>
          <w:i/>
        </w:rPr>
        <w:t>Schengenský hodnotiaci a monitorovací mechanizmus</w:t>
      </w:r>
    </w:p>
    <w:p w:rsidR="00EA6DF7" w:rsidRPr="00DE6DEA" w:rsidRDefault="00EA6DF7" w:rsidP="00EA6DF7">
      <w:pPr>
        <w:pStyle w:val="NormalHanging12a"/>
      </w:pPr>
      <w:r w:rsidRPr="00DE6DEA">
        <w:t>20.</w:t>
      </w:r>
      <w:r w:rsidRPr="00DE6DEA">
        <w:tab/>
        <w:t xml:space="preserve">vyjadruje názor, že schengenský hodnotiaci mechanizmus priniesol významné zlepšenie </w:t>
      </w:r>
      <w:r w:rsidRPr="00DE6DEA">
        <w:lastRenderedPageBreak/>
        <w:t xml:space="preserve">správy schengenského priestoru a prispel k zabezpečeniu jeho fungovania posilnením vzájomnej dôvery a kolektívnej zodpovednosti; zdôrazňuje však povahu </w:t>
      </w:r>
      <w:proofErr w:type="spellStart"/>
      <w:r w:rsidRPr="00DE6DEA">
        <w:t>sui</w:t>
      </w:r>
      <w:proofErr w:type="spellEnd"/>
      <w:r w:rsidRPr="00DE6DEA">
        <w:t xml:space="preserve"> </w:t>
      </w:r>
      <w:proofErr w:type="spellStart"/>
      <w:r w:rsidRPr="00DE6DEA">
        <w:t>generis</w:t>
      </w:r>
      <w:proofErr w:type="spellEnd"/>
      <w:r w:rsidRPr="00DE6DEA">
        <w:t xml:space="preserve"> hodnotiaceho mechanizmu v právnych predpisoch EÚ a pripomína, že Komisia je naďalej v konečnom dôsledku zodpovedná za zabezpečenie uplatňovania zmlúv a opatrení, ktoré inštitúcie prijali v súlade s nimi;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21.</w:t>
      </w:r>
      <w:r w:rsidRPr="00DE6DEA">
        <w:tab/>
        <w:t>víta zámer Komisie preskúmať schengenský hodnotiaci a monitorovací mechanizmus; pripomína diskusie o jeho právnom základe počas rokovaní o balíku opatrení v oblasti riadenia schengenského priestoru v roku 2012 a trvá na tom, aby bol zapojený do reformy mechanizmu za rovnakých podmienok ako Rada, a to buď prostredníctvom riadneho legislatívneho postupu, alebo použitím rovnakej metódy ako v prípade prijatia nariadenia Rady (EÚ) č. 1053/2013</w:t>
      </w:r>
      <w:r w:rsidR="001F0D87" w:rsidRPr="00DE6DEA">
        <w:rPr>
          <w:rStyle w:val="FootnoteReference"/>
        </w:rPr>
        <w:footnoteReference w:id="21"/>
      </w:r>
      <w:r w:rsidRPr="00DE6DEA">
        <w:t xml:space="preserve">, ktorým sa vytvára hodnotiaci a monitorovací mechanizmus na overenie uplatňovania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(SEMM);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22.</w:t>
      </w:r>
      <w:r w:rsidRPr="00DE6DEA">
        <w:tab/>
        <w:t xml:space="preserve">zdôrazňuje, že v rámci akejkoľvek reformy je dôležité zaviesť jasné lehoty pre všetky kroky postupu vrátane vykonávania odporúčaní členskými štátmi, posúdenia návrhov Komisie expertnou pracovnou skupinou pre schengenské hodnotenie a predkladania akčných plánov; pripomína, že je takisto dôležité zvýšiť flexibilitu vo viacročnom a ročnom plánovaní a posilniť úlohu Komisie, najmä v prípade, že členské štáty nevyjadria žiadne stanovisko a že budú potrebné skutočne neohlásené návštevy; zastáva názor, že počas schengenských hodnotení sa musia dôsledne hodnotiť základné práva; napokon sa domnieva, že kontrolná úloha </w:t>
      </w:r>
      <w:r w:rsidR="0016275D" w:rsidRPr="00DE6DEA">
        <w:t>Európskeho p</w:t>
      </w:r>
      <w:r w:rsidRPr="00DE6DEA">
        <w:t>arlamentu a zlepšenie transparentnosti procesu by mali byť kľúčovými prvkami reformy;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23.</w:t>
      </w:r>
      <w:r w:rsidRPr="00DE6DEA">
        <w:tab/>
        <w:t>vyzýva Komisiu, aby vyčlenila dostatočné zdroje na zabezpečenie komplexného hodnotenia schengenského systému, a to aj zvýšením počtu návštev na mieste v členských štátoch; poukazuje na to, že hoci v období rokov 2015 – 2019 Komisia prijala 198 hodnotiacich správ, uzavrelo sa len 45 schengenských hodnotení; vyzýva členské štáty, aby intenzívnejšie vykonávali zistenia hodnotení a odporúčania Rady; konštatuje, že prvý cyklus schengenského hodnotenia trval päť rokov; zastáva názor, že proces hodnotenia a prijímania odporúčaní, ktorý trvá v priemere 32 týždňov, by mal prebiehať rýchlejšie, a vyzýva najmä Radu, aby urýchlila prijímanie odporúčaní vydaných Komisiou;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24.</w:t>
      </w:r>
      <w:r w:rsidRPr="00DE6DEA">
        <w:tab/>
        <w:t xml:space="preserve">vyzýva Radu, aby na ministerskej úrovni pravidelne rokovala o riadnom fungovaní schengenského priestoru vrátane diskusií v prípadoch, keď hodnotiace správy poukázali na vážne nedostatky, a tak sa ujala politickej úlohy, ktorá jej bola pridelená v rámci schengenského hodnotiaceho procesu; vyzýva okrem toho Komisiu a Radu, aby zabránili akémukoľvek ohrozeniu účelu tohto mechanizmu, konkrétne aby určili, či boli splnené všetky predpoklady na zrušenie kontrol na vnútorných hraniciach s kandidátskou krajinou, a aby zabezpečili dodržiavanie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tými členskými štátmi, v ktorých už bol úplne zavedený;</w:t>
      </w:r>
    </w:p>
    <w:p w:rsidR="00EA6DF7" w:rsidRPr="00DE6DEA" w:rsidRDefault="00EA6DF7" w:rsidP="00EA6DF7">
      <w:pPr>
        <w:pStyle w:val="NormalHanging12a"/>
        <w:ind w:hanging="570"/>
        <w:rPr>
          <w:b/>
          <w:i/>
        </w:rPr>
      </w:pPr>
      <w:r w:rsidRPr="00DE6DEA">
        <w:t>25.</w:t>
      </w:r>
      <w:r w:rsidRPr="00DE6DEA">
        <w:tab/>
        <w:t xml:space="preserve">domnieva sa, že budúci schengenský hodnotiaci mechanizmus musí obsahovať hodnotenie operačných činností Európskej agentúry pre pohraničnú a pobrežnú stráž, </w:t>
      </w:r>
      <w:r w:rsidRPr="00DE6DEA">
        <w:lastRenderedPageBreak/>
        <w:t>keďže táto agentúra zohráva čoraz dôležitejšiu úlohu v riadení vonkajších hraníc a návratových operáciách; okrem toho sa domnieva, že mechanizmus by mal posilňovať svoje synergie s posúdeniami zraniteľnosti európskej pohraničnej a pobrežnej stráže; opakuje, že treba predchádzať duplicite a že schengenskí hodnotitelia by mali mať prístup k výsledkom posúdení zraniteľnosti;</w:t>
      </w:r>
    </w:p>
    <w:p w:rsidR="00EA6DF7" w:rsidRPr="00DE6DEA" w:rsidRDefault="00EA6DF7" w:rsidP="00EA6DF7">
      <w:pPr>
        <w:pStyle w:val="NormalHanging12a"/>
        <w:ind w:hanging="570"/>
        <w:rPr>
          <w:b/>
          <w:i/>
        </w:rPr>
      </w:pPr>
      <w:r w:rsidRPr="00DE6DEA">
        <w:t>26.</w:t>
      </w:r>
      <w:r w:rsidRPr="00DE6DEA">
        <w:tab/>
        <w:t xml:space="preserve">pripomína okrem iného, že základné práva predstavujú ústrednú zložku vykonávania integrovaného riadenia hraníc; okrem toho pripomína, že schengenské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 sa musí vykonávať v súlade s </w:t>
      </w:r>
      <w:r w:rsidR="00B56557" w:rsidRPr="00DE6DEA">
        <w:t>c</w:t>
      </w:r>
      <w:r w:rsidRPr="00DE6DEA">
        <w:t>hartou; zdôrazňuje preto, že pri schengenských hodnoteniach sa musí tiež preskúmať, či sa na vonkajších hraniciach dodržiavajú základné práva vrátane zákazu vyhostenia alebo vrátenia, práva na rešpektovanie ľudskej dôstojnosti, zásady nediskriminácie a práva žiadať o medzinárodnú ochranu; domnieva sa, že budúci mechanizmus by mal zabezpečiť, aby experti z agentúry FRA boli oficiálnymi členmi tímu zodpovedného za návštevy na mieste v prípade akéhokoľvek hodnotenia riadenia vonkajších hraníc a návratu; domnieva sa, že všetky príslušné agentúry SVV by mali mať možnosť zapojiť sa;</w:t>
      </w:r>
    </w:p>
    <w:p w:rsidR="00EA6DF7" w:rsidRPr="00DE6DEA" w:rsidRDefault="00EA6DF7" w:rsidP="00EA6DF7">
      <w:pPr>
        <w:pStyle w:val="NormalHanging12a"/>
        <w:ind w:hanging="570"/>
        <w:rPr>
          <w:b/>
          <w:i/>
        </w:rPr>
      </w:pPr>
      <w:r w:rsidRPr="00DE6DEA">
        <w:t>27.</w:t>
      </w:r>
      <w:r w:rsidRPr="00DE6DEA">
        <w:tab/>
        <w:t>domnieva sa, že závažné nedostatky si v prípade odhalenia vyžadujú oveľa rýchlejšie následné opatrenia zamerané na ich bezodkladné odstránenie; domnieva sa, že do revidovaného mechanizmu by sa malo zahrnúť vymedzenie „závažného nedostatku“ a zrýchlený postup v prípade takýchto nedostatkov; domnieva sa, že súčasné prehľady nezáväzných najlepších postupov by mali mať formálny status podľa práva EÚ vo forme príručiek s cieľom zvýšiť transparentnosť a umožniť referenčné porovnávanie hodnotení na základe objektívnych kritérií;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28.</w:t>
      </w:r>
      <w:r w:rsidRPr="00DE6DEA">
        <w:tab/>
        <w:t xml:space="preserve">vyjadruje sklamanie nad tým, že napriek mnohým výzvam </w:t>
      </w:r>
      <w:r w:rsidR="0016275D" w:rsidRPr="00DE6DEA">
        <w:t>Európskeho p</w:t>
      </w:r>
      <w:r w:rsidRPr="00DE6DEA">
        <w:t>arlamentu a Rady Komisia ešte stále nepredložila výročnú správu stanovenú v článku 20 nariadenia (EÚ) č. 1053/2013;</w:t>
      </w:r>
    </w:p>
    <w:p w:rsidR="00EA6DF7" w:rsidRPr="00DE6DEA" w:rsidRDefault="00EA6DF7" w:rsidP="00EA6DF7">
      <w:pPr>
        <w:pStyle w:val="NormalHanging12a"/>
        <w:ind w:hanging="570"/>
        <w:rPr>
          <w:b/>
          <w:i/>
        </w:rPr>
      </w:pPr>
      <w:r w:rsidRPr="00DE6DEA">
        <w:t>29.</w:t>
      </w:r>
      <w:r w:rsidRPr="00DE6DEA">
        <w:rPr>
          <w:b/>
          <w:i/>
        </w:rPr>
        <w:tab/>
      </w:r>
      <w:r w:rsidRPr="00DE6DEA">
        <w:t>zdôrazňuje, že s cieľom podporovať dobrú správu vecí verejných a transparentnosť by inštitúcie Únie mali vykonávať svoju prácu čo najotvorenejšie; domnieva sa, že Komisia by mala na svojom webovom sídle verejne sprístupniť informácie o postupoch hodnotenia v každom členskom štáte a o tom, ako členské štáty plnia odporúčania Rady; okrem toho sa domnieva, že Komisia by mala poskytnúť vhodnú platformu pre bezpečný a zašifrovaný prístup k utajovaným informáciám zo schengenských hodnotiacich dokumentov pre subjekty s prístupovými právami, najmä pre poslancov Európskeho parlamentu, s cieľom uľahčiť vykonávanie demokratickej kontroly a dohľadu;</w:t>
      </w:r>
    </w:p>
    <w:p w:rsidR="00EA6DF7" w:rsidRPr="00DE6DEA" w:rsidRDefault="00EA6DF7" w:rsidP="00EA6DF7">
      <w:pPr>
        <w:pStyle w:val="NormalHanging12a"/>
        <w:ind w:hanging="570"/>
        <w:rPr>
          <w:b/>
          <w:i/>
        </w:rPr>
      </w:pPr>
      <w:r w:rsidRPr="00DE6DEA">
        <w:t>30.</w:t>
      </w:r>
      <w:r w:rsidRPr="00DE6DEA">
        <w:tab/>
        <w:t>konštatuje, že Komisia v novembri 2020 znovu navštívila Chorvátsko v súvislosti s vonkajšími hranicami</w:t>
      </w:r>
      <w:r w:rsidR="004C2673" w:rsidRPr="00DE6DEA">
        <w:t xml:space="preserve"> a opätovne potvrdila, že boli splnené nevyhnutné podmienky na uplatňovanie schengenského </w:t>
      </w:r>
      <w:proofErr w:type="spellStart"/>
      <w:r w:rsidR="004C2673" w:rsidRPr="00DE6DEA">
        <w:rPr>
          <w:i/>
        </w:rPr>
        <w:t>acquis</w:t>
      </w:r>
      <w:proofErr w:type="spellEnd"/>
      <w:r w:rsidRPr="00DE6DEA">
        <w:t>;</w:t>
      </w:r>
      <w:r w:rsidRPr="00DE6DEA">
        <w:rPr>
          <w:b/>
          <w:i/>
        </w:rPr>
        <w:t xml:space="preserve"> </w:t>
      </w:r>
      <w:r w:rsidRPr="00DE6DEA">
        <w:t xml:space="preserve">vyzýva Chorvátsko, aby pokračovalo vo vykonávaní prebiehajúcich opatrení a odstraňovaní zistených nedostatkov, najmä pokiaľ ide o odbornú prípravu zamestnancov, počet zamestnancov a kapacitu dohľadu nad pozemnými hranicami; trvá na tom, že na základe opakovaných správ mimovládnych organizácií a médií o zneužívaní, násilí a odopretiach vstupu príslušníkmi pohraničnej stráže treba dôkladne posúdiť dodržiavanie základných práv; </w:t>
      </w:r>
      <w:r w:rsidR="004C2673" w:rsidRPr="00DE6DEA">
        <w:t xml:space="preserve">víta vytvorenie nezávislého mechanizmu na monitorovanie počínania príslušníkov polície v prípade neregulárnych migrantov a žiadateľov o medzinárodnú ochranu; </w:t>
      </w:r>
      <w:r w:rsidRPr="00DE6DEA">
        <w:t xml:space="preserve">vyzýva Komisiu, aby vo všetkých členských štátoch naďalej posudzovala súlad operácií riadenia hraníc s požiadavkami týkajúcimi sa základných práv a aby v prípade porušovania ľudských </w:t>
      </w:r>
      <w:r w:rsidRPr="00DE6DEA">
        <w:lastRenderedPageBreak/>
        <w:t>práv prijala potrebné opatrenia;</w:t>
      </w:r>
    </w:p>
    <w:p w:rsidR="00EA6DF7" w:rsidRPr="00DE6DEA" w:rsidRDefault="00EA6DF7" w:rsidP="00EA6DF7">
      <w:pPr>
        <w:pStyle w:val="NormalHanging12a"/>
        <w:rPr>
          <w:b/>
          <w:i/>
          <w:szCs w:val="24"/>
        </w:rPr>
      </w:pPr>
      <w:r w:rsidRPr="00DE6DEA">
        <w:t>31.</w:t>
      </w:r>
      <w:r w:rsidRPr="00DE6DEA">
        <w:rPr>
          <w:b/>
          <w:i/>
        </w:rPr>
        <w:tab/>
      </w:r>
      <w:r w:rsidRPr="00DE6DEA">
        <w:t xml:space="preserve">zdôrazňuje opakujúce sa nedostatky a oblasti zlepšenia schengenského systému, ktoré identifikovala Komisia: neúplná alebo nevyhovujúca transpozícia, vykonávanie a uplatňovanie príslušného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 xml:space="preserve">; nedostatočný počet zamestnancov a nedostatočná kvalifikácia a/alebo odborná príprava; rozdielne a nesúrodé vnútroštátne postupy z dôvodu nesúdržného vykonávania schengenského </w:t>
      </w:r>
      <w:proofErr w:type="spellStart"/>
      <w:r w:rsidRPr="00DE6DEA">
        <w:rPr>
          <w:i/>
        </w:rPr>
        <w:t>acquis</w:t>
      </w:r>
      <w:proofErr w:type="spellEnd"/>
      <w:r w:rsidRPr="00DE6DEA">
        <w:t>; roztrieštené administratívne štruktúry s nedostatočnou koordináciou a integráciou rôznych orgánov a praktické, technologické a regulačné prekážky spolupráce v rámci schengenského priestoru; pripomína, že tieto problémy predstavujú základné prekážky riadneho fungovania schengenského priestoru, a naliehavo vyzýva členské štáty, aby im konečne venovali primeranú pozornosť;</w:t>
      </w:r>
    </w:p>
    <w:p w:rsidR="00EA6DF7" w:rsidRPr="00DE6DEA" w:rsidRDefault="00EA6DF7" w:rsidP="001A14D9">
      <w:pPr>
        <w:pStyle w:val="NormalHanging12a"/>
        <w:ind w:left="0" w:firstLine="0"/>
      </w:pPr>
      <w:r w:rsidRPr="00DE6DEA">
        <w:rPr>
          <w:b/>
          <w:i/>
        </w:rPr>
        <w:t>Využívanie rozsiahlych informačných systémov v oblasti spravodlivosti a vnútorných záležitostí</w:t>
      </w:r>
    </w:p>
    <w:p w:rsidR="00EA6DF7" w:rsidRPr="00DE6DEA" w:rsidRDefault="00EA6DF7" w:rsidP="00EA6DF7">
      <w:pPr>
        <w:pStyle w:val="NormalHanging12a"/>
        <w:ind w:hanging="570"/>
      </w:pPr>
      <w:r w:rsidRPr="00DE6DEA">
        <w:t>32.</w:t>
      </w:r>
      <w:r w:rsidRPr="00DE6DEA">
        <w:tab/>
        <w:t xml:space="preserve">berie na vedomie pokrok dosiahnutý vo vývoji nových rozsiahlych informačných systémov a v ich </w:t>
      </w:r>
      <w:proofErr w:type="spellStart"/>
      <w:r w:rsidRPr="00DE6DEA">
        <w:t>interoperabilite</w:t>
      </w:r>
      <w:proofErr w:type="spellEnd"/>
      <w:r w:rsidRPr="00DE6DEA">
        <w:t xml:space="preserve">; vyzýva členské štáty, Komisiu a zainteresované agentúry, aby dodržiavali plánovaný harmonogram vykonávania, v ktorom sa stanovuje zavedenie nových informačných systémov, dokončenie reforiem existujúcich systémov a </w:t>
      </w:r>
      <w:proofErr w:type="spellStart"/>
      <w:r w:rsidRPr="00DE6DEA">
        <w:t>interoperabilita</w:t>
      </w:r>
      <w:proofErr w:type="spellEnd"/>
      <w:r w:rsidRPr="00DE6DEA">
        <w:t xml:space="preserve"> týchto systémov do konca roka 2023; ďalej konštatuje, že na vykonávanie týchto systémov je potrebný stabilný právny rámec; pripomína, že používanie týchto systémov bude mať vplyv aj na právo na súkromie a právo na ochranu údajov osôb, ktorých informácie sa budú uchovávať v týchto systémoch, a zdôrazňuje, že počas ich vykonávania je potrebné dodržiavať záruky stanovené v právnych aktoch, ktorými sa tieto systémy zriaďujú;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33.</w:t>
      </w:r>
      <w:r w:rsidRPr="00DE6DEA">
        <w:tab/>
        <w:t xml:space="preserve">pripomína kľúčovú úlohu agentúry </w:t>
      </w:r>
      <w:proofErr w:type="spellStart"/>
      <w:r w:rsidRPr="00DE6DEA">
        <w:t>eu</w:t>
      </w:r>
      <w:proofErr w:type="spellEnd"/>
      <w:r w:rsidRPr="00DE6DEA">
        <w:t>-LISA pri zriaďovaní nových informačných systémov; okrem toho zdôrazňuje význam národných zložiek v celkovej architektúre týchto systémov a naliehavo vyzýva členské štáty, aby vyčlenili primerané finančné a ľudské zdroje na ich včasné zavedenie;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34.</w:t>
      </w:r>
      <w:r w:rsidRPr="00DE6DEA">
        <w:tab/>
        <w:t>víta dosiahnutú politickú dohodu o reforme vízového informačného systému (VIS), najmä stanovenie jasnej a právne záväznej lehoty na začatie prevádzky;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35.</w:t>
      </w:r>
      <w:r w:rsidRPr="00DE6DEA">
        <w:tab/>
        <w:t>zdôrazňuje výrazný nárast objemu činnosti útvaru pre riešenie žiadostí o doplňujúce informácie k národným záznamom (</w:t>
      </w:r>
      <w:r w:rsidR="000F7F16" w:rsidRPr="00DE6DEA">
        <w:t>ďalej len „</w:t>
      </w:r>
      <w:r w:rsidRPr="00DE6DEA">
        <w:t>SIRENE</w:t>
      </w:r>
      <w:r w:rsidR="000F7F16" w:rsidRPr="00DE6DEA">
        <w:t>“</w:t>
      </w:r>
      <w:r w:rsidRPr="00DE6DEA">
        <w:t>) a znovu vyzýva členské štáty, aby zvýšili prostriedky, ktoré má úrad SIRENE k dispozícii, zabezpečením primeraných finančných a ľudských zdrojov na plnenie jeho úloh;</w:t>
      </w:r>
    </w:p>
    <w:p w:rsidR="00EA6DF7" w:rsidRPr="00DE6DEA" w:rsidRDefault="00EA6DF7" w:rsidP="00EA6DF7">
      <w:pPr>
        <w:pStyle w:val="NormalHanging12a"/>
        <w:rPr>
          <w:b/>
          <w:i/>
          <w:szCs w:val="24"/>
        </w:rPr>
      </w:pPr>
      <w:r w:rsidRPr="00DE6DEA">
        <w:t>36</w:t>
      </w:r>
      <w:r w:rsidRPr="0048306D">
        <w:t>.</w:t>
      </w:r>
      <w:r w:rsidRPr="00DE6DEA">
        <w:rPr>
          <w:b/>
          <w:i/>
        </w:rPr>
        <w:tab/>
      </w:r>
      <w:r w:rsidRPr="00DE6DEA">
        <w:t>berie na vedomie štúdie Spoločného výskumného centra týkajúce sa použitia odtlačkov prstov, odtlačkov dlaní, podôb tváre a DNA v Schengenskom informačnom systéme;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37.</w:t>
      </w:r>
      <w:r w:rsidRPr="00DE6DEA">
        <w:tab/>
        <w:t xml:space="preserve">domnieva sa, že Komisia a Rada vážne zanedbali svoje povinnosti po zistení závažných nedostatkov vo využívaní Schengenského informačného systému Spojeným kráľovstvom, ktoré sa zistilo počas hodnotenia v roku 2017; pripomína žiadosť pracovnej skupiny na kontrolu </w:t>
      </w:r>
      <w:proofErr w:type="spellStart"/>
      <w:r w:rsidRPr="00DE6DEA">
        <w:t>Schengenu</w:t>
      </w:r>
      <w:proofErr w:type="spellEnd"/>
      <w:r w:rsidRPr="00DE6DEA">
        <w:t xml:space="preserve"> o okamžité odpojenie Spojeného kráľovstva, ako sa uvádza v listoch Komisii a predsedníctvu Rady z 15. júna 2020; konštatuje, že Spojené kráľovstvo ako tretia krajina už nemá prístup do Schengenského informačného systému; vyzýva na dôkladné monitorovanie pokračujúcej bezpečnostnej spolupráce medzi EÚ a Spojeným kráľovstvom počas šesťmesačného obdobia na prenos údajov, </w:t>
      </w:r>
      <w:r w:rsidRPr="00DE6DEA">
        <w:lastRenderedPageBreak/>
        <w:t>ktoré sa dohodlo v rámci dohody o obchode a spolupráci medzi EÚ a Spojeným kráľovstvom;</w:t>
      </w:r>
    </w:p>
    <w:p w:rsidR="00EA6DF7" w:rsidRPr="00DE6DEA" w:rsidRDefault="00EA6DF7" w:rsidP="00EA6DF7">
      <w:pPr>
        <w:pStyle w:val="NormalHanging12a"/>
        <w:ind w:left="0" w:firstLine="0"/>
      </w:pPr>
      <w:r w:rsidRPr="00DE6DEA">
        <w:rPr>
          <w:b/>
          <w:i/>
        </w:rPr>
        <w:t>Viacročný strategický cyklus politík európskeho integrovaného riadenia hraníc</w:t>
      </w:r>
    </w:p>
    <w:p w:rsidR="00EA6DF7" w:rsidRPr="00DE6DEA" w:rsidRDefault="00EA6DF7" w:rsidP="00EA6DF7">
      <w:pPr>
        <w:pStyle w:val="NormalHanging12a"/>
        <w:ind w:hanging="570"/>
      </w:pPr>
      <w:r w:rsidRPr="00DE6DEA">
        <w:t>38.</w:t>
      </w:r>
      <w:r w:rsidRPr="00DE6DEA">
        <w:tab/>
        <w:t xml:space="preserve">víta predloženie strategickej analýzy rizík pre európske integrované riadenie hraníc agentúrou </w:t>
      </w:r>
      <w:proofErr w:type="spellStart"/>
      <w:r w:rsidRPr="00DE6DEA">
        <w:t>Frontex</w:t>
      </w:r>
      <w:proofErr w:type="spellEnd"/>
      <w:r w:rsidRPr="00DE6DEA">
        <w:t xml:space="preserve"> ako prvý krok nového cyklu politiky;</w:t>
      </w:r>
    </w:p>
    <w:p w:rsidR="00EA6DF7" w:rsidRPr="00DE6DEA" w:rsidRDefault="00EA6DF7" w:rsidP="00EA6DF7">
      <w:pPr>
        <w:pStyle w:val="NormalHanging12a"/>
      </w:pPr>
      <w:r w:rsidRPr="00DE6DEA">
        <w:rPr>
          <w:b/>
          <w:i/>
        </w:rPr>
        <w:t xml:space="preserve">Budúcnosť </w:t>
      </w:r>
      <w:proofErr w:type="spellStart"/>
      <w:r w:rsidRPr="00DE6DEA">
        <w:rPr>
          <w:b/>
          <w:i/>
        </w:rPr>
        <w:t>Schengenu</w:t>
      </w:r>
      <w:proofErr w:type="spellEnd"/>
    </w:p>
    <w:p w:rsidR="00EA6DF7" w:rsidRPr="00DE6DEA" w:rsidRDefault="00EA6DF7" w:rsidP="00EA6DF7">
      <w:pPr>
        <w:pStyle w:val="NormalHanging12a"/>
        <w:ind w:hanging="570"/>
      </w:pPr>
      <w:r w:rsidRPr="00DE6DEA">
        <w:t>39.</w:t>
      </w:r>
      <w:r w:rsidRPr="00DE6DEA">
        <w:tab/>
        <w:t xml:space="preserve">konštatuje, že rôzne krízy v posledných rokoch, ako je súčasná pandémia, a z veľkej časti nekoordinované a niekedy jednostranné opatrenia členských štátov oslabili vzájomnú dôveru medzi členskými štátmi a ohrozili schengenský priestor; je presvedčený, že sa musí zodpovedajúcim spôsobom zintenzívniť úsilie o nájdenie holistických riešení a že tieto opatrenia by sa mali náležite harmonizovať; v tejto súvislosti víta zámer Komisie prijať stratégiu o budúcnosti </w:t>
      </w:r>
      <w:proofErr w:type="spellStart"/>
      <w:r w:rsidRPr="00DE6DEA">
        <w:t>Schengenu</w:t>
      </w:r>
      <w:proofErr w:type="spellEnd"/>
      <w:r w:rsidRPr="00DE6DEA">
        <w:t xml:space="preserve"> a ďalej víta vytvorenie schengenského fóra, ktoré by malo umožniť aj politické diskusie s</w:t>
      </w:r>
      <w:r w:rsidR="0016275D" w:rsidRPr="00DE6DEA">
        <w:t> Európskym p</w:t>
      </w:r>
      <w:r w:rsidRPr="00DE6DEA">
        <w:t xml:space="preserve">arlamentom a Radou na vysokej úrovni o stave a budúcnosti </w:t>
      </w:r>
      <w:proofErr w:type="spellStart"/>
      <w:r w:rsidRPr="00DE6DEA">
        <w:t>Schengenu</w:t>
      </w:r>
      <w:proofErr w:type="spellEnd"/>
      <w:r w:rsidRPr="00DE6DEA">
        <w:t>;</w:t>
      </w:r>
    </w:p>
    <w:p w:rsidR="00EA6DF7" w:rsidRPr="00DE6DEA" w:rsidRDefault="00EA6DF7" w:rsidP="00EA6DF7">
      <w:pPr>
        <w:pStyle w:val="NormalHanging12a"/>
        <w:ind w:hanging="570"/>
      </w:pPr>
      <w:r w:rsidRPr="00DE6DEA">
        <w:t>40.</w:t>
      </w:r>
      <w:r w:rsidRPr="00DE6DEA">
        <w:tab/>
        <w:t>domnieva sa, že najmä pokiaľ ide o pravidlá kontrol vnútorných hraníc, Kódex schengenských hraníc už nespĺňa svoj účel a vyžaduje si naliehavú a zmysluplnú reformu s cieľom posilniť vzájomnú dôveru a solidaritu a zabezpečiť integritu a úplné obnovenie schengenského priestoru; v tejto súvislosti konštatuje, že sú potrebné jasnejšie pravidlá týkajúce sa núdzových situácií v oblasti verejného zdravia; zdôrazňuje, že hoci je opätovné zavedenie kontrol vnútorných hraníc naďalej vecou rozhodnutia jednotlivých členských štátov, malo by byť vždy len krajným riešením, a to na obmedzené časové obdobie a v rozsahu, v akom sú kontroly potrebné a primerané zistenej závažnej hrozbe, pričom osobitná pozornosť by sa mala venovať ich vplyvu na právo na voľný pohyb a zásadu nediskriminácie, ako aj účinkom, ktoré by takéto kontroly mohli mať na hraničné regióny, pričom sa bude naďalej rozlišovať medzi rôznymi právnymi základmi; domnieva sa, že pri každom predĺžení hraničných kontrol zo strany členského štátu by sa mali uplatniť ďalšie ochranné opatrenia a opatrenia dohľadu a že za každých okolností by mali byť takéto opatrenia zrušené, hneď ako zaniknú ich dôvody;</w:t>
      </w:r>
    </w:p>
    <w:p w:rsidR="00EA6DF7" w:rsidRPr="00DE6DEA" w:rsidRDefault="00EA6DF7" w:rsidP="00EA6DF7">
      <w:pPr>
        <w:pStyle w:val="NormalHanging12a"/>
        <w:rPr>
          <w:b/>
          <w:i/>
          <w:szCs w:val="24"/>
        </w:rPr>
      </w:pPr>
      <w:r w:rsidRPr="00DE6DEA">
        <w:t>41</w:t>
      </w:r>
      <w:r w:rsidRPr="0048306D">
        <w:t>.</w:t>
      </w:r>
      <w:r w:rsidRPr="00DE6DEA">
        <w:rPr>
          <w:b/>
          <w:i/>
        </w:rPr>
        <w:tab/>
      </w:r>
      <w:r w:rsidRPr="00DE6DEA">
        <w:t>domnieva sa, že by sa mal vytvoriť štruktúrovaný a transparentný konzultačný mechanizmus pre prípad krízových situácií s cieľom určiť zmierňujúce alebo alternatívne opatrenia ku kontrolám na vnútorných hraniciach a jednotné pravidlá, ktoré budú záväzné a uplatniteľné na vonkajších hraniciach;</w:t>
      </w:r>
    </w:p>
    <w:p w:rsidR="00EA6DF7" w:rsidRPr="00DE6DEA" w:rsidRDefault="00EA6DF7" w:rsidP="00EA6DF7">
      <w:pPr>
        <w:pStyle w:val="NormalHanging12a"/>
        <w:ind w:hanging="570"/>
        <w:rPr>
          <w:szCs w:val="24"/>
        </w:rPr>
      </w:pPr>
      <w:r w:rsidRPr="00DE6DEA">
        <w:t>42.</w:t>
      </w:r>
      <w:r w:rsidRPr="00DE6DEA">
        <w:tab/>
        <w:t xml:space="preserve">vyzýva administratívu </w:t>
      </w:r>
      <w:r w:rsidR="0016275D" w:rsidRPr="00DE6DEA">
        <w:t>Európskeho p</w:t>
      </w:r>
      <w:r w:rsidRPr="00DE6DEA">
        <w:t xml:space="preserve">arlamentu, aby zriadila špecializované oddelenie pre podporu správy </w:t>
      </w:r>
      <w:proofErr w:type="spellStart"/>
      <w:r w:rsidRPr="00DE6DEA">
        <w:t>Schengenu</w:t>
      </w:r>
      <w:proofErr w:type="spellEnd"/>
      <w:r w:rsidRPr="00DE6DEA">
        <w:t xml:space="preserve">, aby </w:t>
      </w:r>
      <w:r w:rsidR="0016275D" w:rsidRPr="00DE6DEA">
        <w:t>Európsky p</w:t>
      </w:r>
      <w:r w:rsidRPr="00DE6DEA">
        <w:t xml:space="preserve">arlament mohol riadne vykonávať svoje funkcie demokratickej kontroly a dohľadu v súvislosti so schengenským </w:t>
      </w:r>
      <w:proofErr w:type="spellStart"/>
      <w:r w:rsidRPr="00DE6DEA">
        <w:rPr>
          <w:i/>
        </w:rPr>
        <w:t>acquis</w:t>
      </w:r>
      <w:proofErr w:type="spellEnd"/>
      <w:r w:rsidRPr="00DE6DEA">
        <w:t>;</w:t>
      </w:r>
    </w:p>
    <w:p w:rsidR="00B56557" w:rsidRPr="00DE6DEA" w:rsidRDefault="00B56557" w:rsidP="00B56557">
      <w:pPr>
        <w:pStyle w:val="NormalHanging12a"/>
        <w:widowControl/>
        <w:ind w:left="0" w:firstLine="0"/>
        <w:jc w:val="center"/>
      </w:pPr>
      <w:r w:rsidRPr="00DE6DEA">
        <w:t>°</w:t>
      </w:r>
    </w:p>
    <w:p w:rsidR="00EA6DF7" w:rsidRPr="00DE6DEA" w:rsidRDefault="00B56557" w:rsidP="001A14D9">
      <w:pPr>
        <w:pStyle w:val="NormalHanging12a"/>
        <w:widowControl/>
        <w:ind w:left="0" w:firstLine="0"/>
        <w:jc w:val="center"/>
      </w:pPr>
      <w:r w:rsidRPr="00DE6DEA">
        <w:t>°     °</w:t>
      </w:r>
    </w:p>
    <w:p w:rsidR="00EA6DF7" w:rsidRPr="00DE6DEA" w:rsidRDefault="00EA6DF7" w:rsidP="00B56557">
      <w:pPr>
        <w:pStyle w:val="NormalHanging12a"/>
        <w:ind w:hanging="570"/>
      </w:pPr>
      <w:r w:rsidRPr="00DE6DEA">
        <w:t>43.</w:t>
      </w:r>
      <w:r w:rsidRPr="00DE6DEA">
        <w:tab/>
        <w:t>poveruje svojho predsedu, aby postúpil toto uznesenie Rade a Komisii, národným parlamentom členských štátov a Európskej agentúre pre pohraničnú a pobrežnú stráž.</w:t>
      </w:r>
    </w:p>
    <w:p w:rsidR="00E365E1" w:rsidRPr="00DE6DEA" w:rsidRDefault="00E365E1" w:rsidP="009C69E9">
      <w:bookmarkStart w:id="10" w:name="TextBodyEnd"/>
      <w:bookmarkEnd w:id="10"/>
    </w:p>
    <w:sectPr w:rsidR="00E365E1" w:rsidRPr="00DE6DEA" w:rsidSect="00961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E9" w:rsidRPr="00961616" w:rsidRDefault="009C69E9">
      <w:r w:rsidRPr="00961616">
        <w:separator/>
      </w:r>
    </w:p>
  </w:endnote>
  <w:endnote w:type="continuationSeparator" w:id="0">
    <w:p w:rsidR="009C69E9" w:rsidRPr="00961616" w:rsidRDefault="009C69E9">
      <w:r w:rsidRPr="009616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61616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61616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61616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E9" w:rsidRPr="00961616" w:rsidRDefault="009C69E9">
      <w:r w:rsidRPr="00961616">
        <w:separator/>
      </w:r>
    </w:p>
  </w:footnote>
  <w:footnote w:type="continuationSeparator" w:id="0">
    <w:p w:rsidR="009C69E9" w:rsidRPr="00961616" w:rsidRDefault="009C69E9">
      <w:r w:rsidRPr="00961616">
        <w:continuationSeparator/>
      </w:r>
    </w:p>
  </w:footnote>
  <w:footnote w:id="1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312, 7.12.2018, s. 1.</w:t>
      </w:r>
    </w:p>
  </w:footnote>
  <w:footnote w:id="2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312, 7.12.2018, s. 14.</w:t>
      </w:r>
    </w:p>
  </w:footnote>
  <w:footnote w:id="3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312, 7.12.2018, s. 56.</w:t>
      </w:r>
    </w:p>
  </w:footnote>
  <w:footnote w:id="4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135, 22.5.2019, s. 27.</w:t>
      </w:r>
    </w:p>
  </w:footnote>
  <w:footnote w:id="5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135, 22.5.2019, s. 85.</w:t>
      </w:r>
    </w:p>
  </w:footnote>
  <w:footnote w:id="6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236, 19.9.2018, s. 1.</w:t>
      </w:r>
    </w:p>
  </w:footnote>
  <w:footnote w:id="7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236, 19.9.2018, s. 72.</w:t>
      </w:r>
    </w:p>
  </w:footnote>
  <w:footnote w:id="8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107, 6.4.2020, s. 1.</w:t>
      </w:r>
    </w:p>
  </w:footnote>
  <w:footnote w:id="9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295, 14.11.2019, s. 1.</w:t>
      </w:r>
    </w:p>
  </w:footnote>
  <w:footnote w:id="10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188, 12.7.2019, s. 25.</w:t>
      </w:r>
    </w:p>
  </w:footnote>
  <w:footnote w:id="11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C 86</w:t>
      </w:r>
      <w:r w:rsidR="002D1F75">
        <w:rPr>
          <w:sz w:val="24"/>
          <w:lang w:val="sk-SK"/>
        </w:rPr>
        <w:t xml:space="preserve"> </w:t>
      </w:r>
      <w:r w:rsidRPr="00961616">
        <w:rPr>
          <w:sz w:val="24"/>
          <w:lang w:val="sk-SK"/>
        </w:rPr>
        <w:t>I, 16.3.2020, s. 1.</w:t>
      </w:r>
    </w:p>
  </w:footnote>
  <w:footnote w:id="12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 v. EÚ L 337, 14.10.2020, s. 3.</w:t>
      </w:r>
    </w:p>
  </w:footnote>
  <w:footnote w:id="13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="002D1F75">
        <w:rPr>
          <w:sz w:val="24"/>
          <w:lang w:val="sk-SK"/>
        </w:rPr>
        <w:t xml:space="preserve">Ú. </w:t>
      </w:r>
      <w:r w:rsidRPr="00961616">
        <w:rPr>
          <w:sz w:val="24"/>
          <w:lang w:val="sk-SK"/>
        </w:rPr>
        <w:t>v. EÚ C 76, 9.3.2020, s. 106.</w:t>
      </w:r>
    </w:p>
  </w:footnote>
  <w:footnote w:id="14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Prijaté texty, P9_TA(2020)0175.</w:t>
      </w:r>
    </w:p>
  </w:footnote>
  <w:footnote w:id="15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 v. EÚ C 388, 13.11.2020, s. 18.</w:t>
      </w:r>
    </w:p>
  </w:footnote>
  <w:footnote w:id="16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Prijaté texty, P9_TA(2020)0362.</w:t>
      </w:r>
    </w:p>
  </w:footnote>
  <w:footnote w:id="17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Prijaté texty, P9_TA(2020)0307.</w:t>
      </w:r>
    </w:p>
  </w:footnote>
  <w:footnote w:id="18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 xml:space="preserve">Súčasný stav k 19. máju 2021, </w:t>
      </w:r>
      <w:r w:rsidR="00FA2EF0">
        <w:fldChar w:fldCharType="begin"/>
      </w:r>
      <w:r w:rsidR="00FA2EF0" w:rsidRPr="00FA2EF0">
        <w:rPr>
          <w:lang w:val="sk-SK"/>
        </w:rPr>
        <w:instrText xml:space="preserve"> HYPERLINK "https://ec.europa.eu/home-affairs/sites/default/files/what-we-do/policies/borders-an</w:instrText>
      </w:r>
      <w:r w:rsidR="00FA2EF0" w:rsidRPr="00FA2EF0">
        <w:rPr>
          <w:lang w:val="sk-SK"/>
        </w:rPr>
        <w:instrText xml:space="preserve">d-visas/schengen/reintroduction-border-control/docs/ms_notifications_-_reintroduction_of_border_control.pdf" </w:instrText>
      </w:r>
      <w:r w:rsidR="00FA2EF0">
        <w:fldChar w:fldCharType="separate"/>
      </w:r>
      <w:r w:rsidRPr="00EB49B8">
        <w:rPr>
          <w:rStyle w:val="Hyperlink"/>
          <w:sz w:val="24"/>
          <w:lang w:val="sk-SK"/>
        </w:rPr>
        <w:t>https://ec.europa.eu/home-affairs/sites/default/files/what-we-do/policies/borders-and-visas/schengen/reintroduction-border-control/docs/ms_notifications_-_reintroduction_of_border_control.pdf</w:t>
      </w:r>
      <w:r w:rsidR="00FA2EF0">
        <w:rPr>
          <w:rStyle w:val="Hyperlink"/>
          <w:sz w:val="24"/>
          <w:lang w:val="sk-SK"/>
        </w:rPr>
        <w:fldChar w:fldCharType="end"/>
      </w:r>
      <w:r w:rsidR="00564044" w:rsidRPr="00564044">
        <w:rPr>
          <w:rStyle w:val="Hyperlink"/>
          <w:color w:val="auto"/>
          <w:sz w:val="24"/>
          <w:u w:val="none"/>
          <w:lang w:val="sk-SK"/>
        </w:rPr>
        <w:t>.</w:t>
      </w:r>
    </w:p>
  </w:footnote>
  <w:footnote w:id="19">
    <w:p w:rsidR="00217374" w:rsidRPr="001A14D9" w:rsidRDefault="00217374" w:rsidP="001A14D9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1A14D9">
        <w:rPr>
          <w:lang w:val="sk-SK"/>
        </w:rPr>
        <w:t xml:space="preserve"> </w:t>
      </w:r>
      <w:r>
        <w:rPr>
          <w:lang w:val="sk-SK"/>
        </w:rPr>
        <w:tab/>
      </w:r>
      <w:r w:rsidRPr="001A14D9">
        <w:rPr>
          <w:sz w:val="24"/>
          <w:szCs w:val="24"/>
          <w:lang w:val="sk-SK"/>
        </w:rPr>
        <w:t>Smernica Európskeho parlamentu a Rady 2008/115/ES zo 16. decembra 2008 o spoločných normách a postupoch členských štátov na účely návratu štátnych príslušníkov tretích krajín, ktorí sa neoprávnene zdržiavajú na ich území</w:t>
      </w:r>
      <w:r>
        <w:rPr>
          <w:sz w:val="24"/>
          <w:szCs w:val="24"/>
          <w:lang w:val="sk-SK"/>
        </w:rPr>
        <w:t xml:space="preserve"> (</w:t>
      </w:r>
      <w:r w:rsidRPr="001A14D9">
        <w:rPr>
          <w:iCs/>
          <w:sz w:val="24"/>
          <w:szCs w:val="24"/>
          <w:lang w:val="sk-SK"/>
        </w:rPr>
        <w:t>Ú. v. EÚ L 348, 24.12.2008, s. 98</w:t>
      </w:r>
      <w:r>
        <w:rPr>
          <w:iCs/>
          <w:sz w:val="24"/>
          <w:szCs w:val="24"/>
          <w:lang w:val="sk-SK"/>
        </w:rPr>
        <w:t>).</w:t>
      </w:r>
    </w:p>
  </w:footnote>
  <w:footnote w:id="20">
    <w:p w:rsidR="00EA6DF7" w:rsidRPr="00961616" w:rsidRDefault="00EA6DF7" w:rsidP="00961616">
      <w:pPr>
        <w:pStyle w:val="FootnoteText"/>
        <w:ind w:left="567" w:hanging="567"/>
        <w:rPr>
          <w:sz w:val="24"/>
          <w:lang w:val="sk-SK"/>
        </w:rPr>
      </w:pPr>
      <w:r w:rsidRPr="00961616">
        <w:rPr>
          <w:rStyle w:val="FootnoteReference"/>
          <w:sz w:val="24"/>
          <w:lang w:val="sk-SK"/>
        </w:rPr>
        <w:footnoteRef/>
      </w:r>
      <w:r w:rsidR="00961616" w:rsidRPr="00961616">
        <w:rPr>
          <w:sz w:val="24"/>
          <w:lang w:val="sk-SK"/>
        </w:rPr>
        <w:t xml:space="preserve"> </w:t>
      </w:r>
      <w:r w:rsidR="00961616" w:rsidRPr="00961616">
        <w:rPr>
          <w:sz w:val="24"/>
          <w:lang w:val="sk-SK"/>
        </w:rPr>
        <w:tab/>
      </w:r>
      <w:r w:rsidRPr="00961616">
        <w:rPr>
          <w:sz w:val="24"/>
          <w:lang w:val="sk-SK"/>
        </w:rPr>
        <w:t>Ú. v. EÚ C 76, 9.3.2020, s. 106.</w:t>
      </w:r>
    </w:p>
  </w:footnote>
  <w:footnote w:id="21">
    <w:p w:rsidR="001F0D87" w:rsidRPr="001A14D9" w:rsidRDefault="001F0D87" w:rsidP="001A14D9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1A14D9">
        <w:rPr>
          <w:lang w:val="sk-SK"/>
        </w:rPr>
        <w:t xml:space="preserve"> </w:t>
      </w:r>
      <w:r>
        <w:rPr>
          <w:lang w:val="sk-SK"/>
        </w:rPr>
        <w:tab/>
      </w:r>
      <w:r w:rsidRPr="001A14D9">
        <w:rPr>
          <w:sz w:val="24"/>
          <w:szCs w:val="24"/>
          <w:lang w:val="sk-SK"/>
        </w:rPr>
        <w:t xml:space="preserve">Nariadenie Rady (EÚ) </w:t>
      </w:r>
      <w:r w:rsidR="0016275D">
        <w:rPr>
          <w:sz w:val="24"/>
          <w:szCs w:val="24"/>
          <w:lang w:val="sk-SK"/>
        </w:rPr>
        <w:t>č. 1053/2013 zo 7. októbra 2013</w:t>
      </w:r>
      <w:r w:rsidRPr="001A14D9">
        <w:rPr>
          <w:sz w:val="24"/>
          <w:szCs w:val="24"/>
          <w:lang w:val="sk-SK"/>
        </w:rPr>
        <w:t xml:space="preserve">, ktorým sa vytvára hodnotiaci a monitorovací mechanizmus na overenie uplatňovania schengenského </w:t>
      </w:r>
      <w:proofErr w:type="spellStart"/>
      <w:r w:rsidRPr="001A14D9">
        <w:rPr>
          <w:sz w:val="24"/>
          <w:szCs w:val="24"/>
          <w:lang w:val="sk-SK"/>
        </w:rPr>
        <w:t>acquis</w:t>
      </w:r>
      <w:proofErr w:type="spellEnd"/>
      <w:r w:rsidRPr="001A14D9">
        <w:rPr>
          <w:sz w:val="24"/>
          <w:szCs w:val="24"/>
          <w:lang w:val="sk-SK"/>
        </w:rPr>
        <w:t xml:space="preserve"> a ktorým sa zrušuje rozhodnutie výkonné</w:t>
      </w:r>
      <w:r w:rsidR="0016275D">
        <w:rPr>
          <w:sz w:val="24"/>
          <w:szCs w:val="24"/>
          <w:lang w:val="sk-SK"/>
        </w:rPr>
        <w:t>ho výboru zo 16. septembra 1998</w:t>
      </w:r>
      <w:r w:rsidRPr="001A14D9">
        <w:rPr>
          <w:sz w:val="24"/>
          <w:szCs w:val="24"/>
          <w:lang w:val="sk-SK"/>
        </w:rPr>
        <w:t xml:space="preserve">, ktorým bol zriadený Stály výbor pre hodnotenie a vykonávanie </w:t>
      </w:r>
      <w:proofErr w:type="spellStart"/>
      <w:r w:rsidRPr="001A14D9">
        <w:rPr>
          <w:sz w:val="24"/>
          <w:szCs w:val="24"/>
          <w:lang w:val="sk-SK"/>
        </w:rPr>
        <w:t>Schengenu</w:t>
      </w:r>
      <w:proofErr w:type="spellEnd"/>
      <w:r>
        <w:rPr>
          <w:sz w:val="24"/>
          <w:szCs w:val="24"/>
          <w:lang w:val="sk-SK"/>
        </w:rPr>
        <w:t xml:space="preserve"> (</w:t>
      </w:r>
      <w:r w:rsidRPr="001A14D9">
        <w:rPr>
          <w:iCs/>
          <w:sz w:val="24"/>
          <w:szCs w:val="24"/>
          <w:lang w:val="sk-SK"/>
        </w:rPr>
        <w:t>Ú. v. EÚ L 295, 6.11.2013, s. 27</w:t>
      </w:r>
      <w:r>
        <w:rPr>
          <w:iCs/>
          <w:sz w:val="24"/>
          <w:szCs w:val="24"/>
          <w:lang w:val="sk-SK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61616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61616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61616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183/2021"/>
    <w:docVar w:name="dvlangue" w:val="SK"/>
    <w:docVar w:name="dvnumam" w:val="0"/>
    <w:docVar w:name="dvpe" w:val="661.893"/>
    <w:docVar w:name="dvrapporteur" w:val="Spravodajkyňa: "/>
    <w:docVar w:name="dvtitre" w:val="Uznesenie Európskeho parlamentu z xx. júla 2021 o výročnej správe o fungovaní schengenského priestoru(2019/2196(INI))"/>
  </w:docVars>
  <w:rsids>
    <w:rsidRoot w:val="009C69E9"/>
    <w:rsid w:val="00002272"/>
    <w:rsid w:val="00064002"/>
    <w:rsid w:val="000677B9"/>
    <w:rsid w:val="000831BA"/>
    <w:rsid w:val="0009500C"/>
    <w:rsid w:val="000A42CC"/>
    <w:rsid w:val="000E7DD9"/>
    <w:rsid w:val="000F7F16"/>
    <w:rsid w:val="0010095E"/>
    <w:rsid w:val="00125B37"/>
    <w:rsid w:val="0016275D"/>
    <w:rsid w:val="00187494"/>
    <w:rsid w:val="001A14D9"/>
    <w:rsid w:val="001F0D87"/>
    <w:rsid w:val="001F32AE"/>
    <w:rsid w:val="00217374"/>
    <w:rsid w:val="002767FF"/>
    <w:rsid w:val="002B18FE"/>
    <w:rsid w:val="002B5493"/>
    <w:rsid w:val="002D1F75"/>
    <w:rsid w:val="00343214"/>
    <w:rsid w:val="00361C00"/>
    <w:rsid w:val="00394131"/>
    <w:rsid w:val="00395FA1"/>
    <w:rsid w:val="003E15D4"/>
    <w:rsid w:val="00411CCE"/>
    <w:rsid w:val="0041666E"/>
    <w:rsid w:val="00421060"/>
    <w:rsid w:val="004563BE"/>
    <w:rsid w:val="00471C19"/>
    <w:rsid w:val="0048306D"/>
    <w:rsid w:val="004867E3"/>
    <w:rsid w:val="00494A28"/>
    <w:rsid w:val="004C0004"/>
    <w:rsid w:val="004C2673"/>
    <w:rsid w:val="004C5D52"/>
    <w:rsid w:val="0050519A"/>
    <w:rsid w:val="005072A1"/>
    <w:rsid w:val="00514517"/>
    <w:rsid w:val="00517D86"/>
    <w:rsid w:val="00545827"/>
    <w:rsid w:val="00560270"/>
    <w:rsid w:val="00564044"/>
    <w:rsid w:val="005C2568"/>
    <w:rsid w:val="006037C0"/>
    <w:rsid w:val="006631B6"/>
    <w:rsid w:val="00680577"/>
    <w:rsid w:val="006F3E19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61616"/>
    <w:rsid w:val="009726F6"/>
    <w:rsid w:val="00981893"/>
    <w:rsid w:val="009C69E9"/>
    <w:rsid w:val="00A1687D"/>
    <w:rsid w:val="00A43E52"/>
    <w:rsid w:val="00A4678D"/>
    <w:rsid w:val="00A778C7"/>
    <w:rsid w:val="00AB2D03"/>
    <w:rsid w:val="00AB441E"/>
    <w:rsid w:val="00AB6293"/>
    <w:rsid w:val="00AE0928"/>
    <w:rsid w:val="00AF3B82"/>
    <w:rsid w:val="00B12E95"/>
    <w:rsid w:val="00B22876"/>
    <w:rsid w:val="00B558F0"/>
    <w:rsid w:val="00B56557"/>
    <w:rsid w:val="00B57F8E"/>
    <w:rsid w:val="00BD48FE"/>
    <w:rsid w:val="00BD7BD8"/>
    <w:rsid w:val="00BE6ADC"/>
    <w:rsid w:val="00BF1067"/>
    <w:rsid w:val="00C05BFE"/>
    <w:rsid w:val="00C23CD4"/>
    <w:rsid w:val="00C61C0C"/>
    <w:rsid w:val="00C941CB"/>
    <w:rsid w:val="00CC2357"/>
    <w:rsid w:val="00CD7997"/>
    <w:rsid w:val="00CF071A"/>
    <w:rsid w:val="00D058B8"/>
    <w:rsid w:val="00D40CA6"/>
    <w:rsid w:val="00D56C11"/>
    <w:rsid w:val="00D834A0"/>
    <w:rsid w:val="00D872DF"/>
    <w:rsid w:val="00D91E21"/>
    <w:rsid w:val="00DA7FCD"/>
    <w:rsid w:val="00DE6DEA"/>
    <w:rsid w:val="00E365E1"/>
    <w:rsid w:val="00E820A4"/>
    <w:rsid w:val="00EA6DF7"/>
    <w:rsid w:val="00EB006A"/>
    <w:rsid w:val="00EB4772"/>
    <w:rsid w:val="00EB49B8"/>
    <w:rsid w:val="00ED169E"/>
    <w:rsid w:val="00ED4235"/>
    <w:rsid w:val="00F04346"/>
    <w:rsid w:val="00F075DC"/>
    <w:rsid w:val="00F149E9"/>
    <w:rsid w:val="00F5134D"/>
    <w:rsid w:val="00F74202"/>
    <w:rsid w:val="00F87713"/>
    <w:rsid w:val="00FA2EF0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8BA4"/>
  <w15:chartTrackingRefBased/>
  <w15:docId w15:val="{9D8F3EBE-661C-4FE6-9BDA-0915F6A2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Hanging12a">
    <w:name w:val="NormalHanging12a"/>
    <w:basedOn w:val="Normal"/>
    <w:link w:val="NormalHanging12aChar"/>
    <w:rsid w:val="00EA6DF7"/>
    <w:pPr>
      <w:spacing w:after="240"/>
      <w:ind w:left="567" w:hanging="567"/>
    </w:pPr>
  </w:style>
  <w:style w:type="paragraph" w:customStyle="1" w:styleId="EPComma">
    <w:name w:val="EPComma"/>
    <w:basedOn w:val="Normal"/>
    <w:rsid w:val="00EA6DF7"/>
    <w:pPr>
      <w:spacing w:before="480" w:after="240"/>
    </w:pPr>
  </w:style>
  <w:style w:type="character" w:customStyle="1" w:styleId="NormalHanging12aChar">
    <w:name w:val="NormalHanging12a Char"/>
    <w:basedOn w:val="DefaultParagraphFont"/>
    <w:link w:val="NormalHanging12a"/>
    <w:rsid w:val="00EA6DF7"/>
    <w:rPr>
      <w:sz w:val="24"/>
      <w:lang w:val="sk-SK"/>
    </w:rPr>
  </w:style>
  <w:style w:type="character" w:styleId="Hyperlink">
    <w:name w:val="Hyperlink"/>
    <w:basedOn w:val="DefaultParagraphFont"/>
    <w:rsid w:val="00EB49B8"/>
    <w:rPr>
      <w:color w:val="0563C1" w:themeColor="hyperlink"/>
      <w:u w:val="single"/>
    </w:rPr>
  </w:style>
  <w:style w:type="paragraph" w:styleId="NormalWeb">
    <w:name w:val="Normal (Web)"/>
    <w:basedOn w:val="Normal"/>
    <w:rsid w:val="00217374"/>
    <w:rPr>
      <w:szCs w:val="24"/>
    </w:rPr>
  </w:style>
  <w:style w:type="paragraph" w:styleId="BalloonText">
    <w:name w:val="Balloon Text"/>
    <w:basedOn w:val="Normal"/>
    <w:link w:val="BalloonTextChar"/>
    <w:rsid w:val="00BF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1067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CCD7-7963-4D6C-BB45-63A3A9E0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4833</Words>
  <Characters>30735</Characters>
  <Application>Microsoft Office Word</Application>
  <DocSecurity>0</DocSecurity>
  <Lines>256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35498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BINKEVICIUTE Aurelija</cp:lastModifiedBy>
  <cp:revision>3</cp:revision>
  <cp:lastPrinted>2004-11-19T15:42:00Z</cp:lastPrinted>
  <dcterms:created xsi:type="dcterms:W3CDTF">2021-09-22T07:18:00Z</dcterms:created>
  <dcterms:modified xsi:type="dcterms:W3CDTF">2021-11-15T12:06:00Z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A9-0183/2021</vt:lpwstr>
  </property>
  <property fmtid="{D5CDD505-2E9C-101B-9397-08002B2CF9AE}" pid="4" name="&lt;Type&gt;">
    <vt:lpwstr>RR</vt:lpwstr>
  </property>
</Properties>
</file>