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94D50" w:rsidRPr="004A0001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494D50" w:rsidRPr="004A0001" w:rsidRDefault="00640252" w:rsidP="00C85D0F">
            <w:pPr>
              <w:pStyle w:val="EPName"/>
            </w:pPr>
            <w:r w:rsidRPr="004A0001">
              <w:t>Parlament Europejski</w:t>
            </w:r>
          </w:p>
          <w:p w:rsidR="00494D50" w:rsidRPr="004A0001" w:rsidRDefault="004A0001" w:rsidP="004A0001">
            <w:pPr>
              <w:pStyle w:val="EPTerm"/>
            </w:pPr>
            <w:r w:rsidRPr="004A0001">
              <w:t>2019-2024</w:t>
            </w:r>
          </w:p>
        </w:tc>
        <w:tc>
          <w:tcPr>
            <w:tcW w:w="2268" w:type="dxa"/>
            <w:shd w:val="clear" w:color="auto" w:fill="auto"/>
          </w:tcPr>
          <w:p w:rsidR="00494D50" w:rsidRPr="004A0001" w:rsidRDefault="00494D50" w:rsidP="00C85D0F">
            <w:pPr>
              <w:pStyle w:val="EPLogo"/>
            </w:pPr>
            <w:r w:rsidRPr="004A0001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AC1" w:rsidRPr="004A0001" w:rsidRDefault="00BE4AC1" w:rsidP="00BE4AC1">
      <w:pPr>
        <w:pStyle w:val="LineTop"/>
      </w:pPr>
    </w:p>
    <w:p w:rsidR="00BE4AC1" w:rsidRPr="004A0001" w:rsidRDefault="00640252" w:rsidP="00BE4AC1">
      <w:pPr>
        <w:pStyle w:val="EPBody"/>
      </w:pPr>
      <w:r w:rsidRPr="004A0001">
        <w:t>Ujednolicony dokument legislacyjny</w:t>
      </w:r>
    </w:p>
    <w:p w:rsidR="00BE4AC1" w:rsidRPr="004A0001" w:rsidRDefault="00BE4AC1" w:rsidP="00330FEA">
      <w:pPr>
        <w:pStyle w:val="LineBottom"/>
      </w:pPr>
    </w:p>
    <w:p w:rsidR="00D06995" w:rsidRPr="004A0001" w:rsidRDefault="004A0001" w:rsidP="00D06995">
      <w:pPr>
        <w:pStyle w:val="CoverReference"/>
      </w:pPr>
      <w:r w:rsidRPr="004A0001">
        <w:t>EP-PE_TC1-COD(2020)0101</w:t>
      </w:r>
    </w:p>
    <w:p w:rsidR="00D06995" w:rsidRPr="004A0001" w:rsidRDefault="004A0001" w:rsidP="00D06995">
      <w:pPr>
        <w:pStyle w:val="CoverDate"/>
      </w:pPr>
      <w:r w:rsidRPr="004A0001">
        <w:rPr>
          <w:rStyle w:val="HideTWBInt"/>
        </w:rPr>
        <w:t>{16/12/2020}</w:t>
      </w:r>
      <w:r w:rsidRPr="004A0001">
        <w:t>16.12.2020</w:t>
      </w:r>
    </w:p>
    <w:p w:rsidR="00BE4AC1" w:rsidRPr="004A0001" w:rsidRDefault="004A0001" w:rsidP="00CC358E">
      <w:pPr>
        <w:pStyle w:val="CoverDocType"/>
      </w:pPr>
      <w:r w:rsidRPr="004A0001">
        <w:t>***I</w:t>
      </w:r>
    </w:p>
    <w:p w:rsidR="00BE4AC1" w:rsidRPr="004A0001" w:rsidRDefault="00640252" w:rsidP="00BE0112">
      <w:pPr>
        <w:pStyle w:val="CoverDocType24a"/>
      </w:pPr>
      <w:r w:rsidRPr="004A0001">
        <w:t>STANOWISKO PARLAMENTU EUROPEJSKIEGO</w:t>
      </w:r>
    </w:p>
    <w:p w:rsidR="0096592A" w:rsidRPr="004A0001" w:rsidRDefault="004A0001" w:rsidP="00BE0112">
      <w:pPr>
        <w:pStyle w:val="CoverNormal"/>
      </w:pPr>
      <w:r w:rsidRPr="004A0001">
        <w:t>przyjęte w pierwszym czytaniu w dniu 16 grudnia 2020 r. w celu przyjęcia rozporządzenia Parlamentu Europejskiego i Rady (UE) 2020/... zmieniającego rozporządzenie (UE) nr 1303/2013 w odniesieniu do zasobów dodatk</w:t>
      </w:r>
      <w:r>
        <w:t xml:space="preserve">owych i przepisów wykonawczych </w:t>
      </w:r>
      <w:r w:rsidRPr="004A0001">
        <w:t>w celu zapewnienia pomocy na wspieranie kryzysowych działań naprawczych w kontekście pandemii COVID-19 i jej skutków społecznych oraz przygotowanie do ekologicznej i cyfrowej odbudowy gospodarki zwiększającej jej odporność (REACT-EU)</w:t>
      </w:r>
    </w:p>
    <w:p w:rsidR="00BE4AC1" w:rsidRPr="004A0001" w:rsidRDefault="00BE4AC1" w:rsidP="00BE0112">
      <w:pPr>
        <w:pStyle w:val="CoverNormal"/>
      </w:pPr>
      <w:r w:rsidRPr="004A0001">
        <w:t>(</w:t>
      </w:r>
      <w:r w:rsidR="004A0001" w:rsidRPr="004A0001">
        <w:t>EP-PE_TC1-COD(2020)0101</w:t>
      </w:r>
      <w:r w:rsidRPr="004A0001">
        <w:t>)</w:t>
      </w:r>
    </w:p>
    <w:p w:rsidR="001A7617" w:rsidRPr="004A0001" w:rsidRDefault="001A7617" w:rsidP="00BE0112">
      <w:pPr>
        <w:pStyle w:val="CoverNormal"/>
      </w:pPr>
    </w:p>
    <w:p w:rsidR="00BE0112" w:rsidRPr="004A0001" w:rsidRDefault="00BE0112" w:rsidP="009844B0"/>
    <w:p w:rsidR="00BE0112" w:rsidRPr="004A0001" w:rsidRDefault="00BE0112" w:rsidP="009844B0">
      <w:pPr>
        <w:sectPr w:rsidR="00BE0112" w:rsidRPr="004A0001" w:rsidSect="004A00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 w:code="9"/>
          <w:pgMar w:top="1134" w:right="1418" w:bottom="1418" w:left="1418" w:header="1134" w:footer="567" w:gutter="0"/>
          <w:pgNumType w:fmt="numberInDash" w:start="0"/>
          <w:cols w:space="720"/>
          <w:titlePg/>
        </w:sectPr>
      </w:pPr>
    </w:p>
    <w:p w:rsidR="00A51CB9" w:rsidRPr="004A0001" w:rsidRDefault="00640252" w:rsidP="008D715A">
      <w:pPr>
        <w:pStyle w:val="HeadingCenter24a"/>
      </w:pPr>
      <w:r w:rsidRPr="004A0001">
        <w:lastRenderedPageBreak/>
        <w:t>STANOWISKO PARLAMENTU EUROPEJSKIEGO</w:t>
      </w:r>
    </w:p>
    <w:p w:rsidR="0032447B" w:rsidRPr="004A0001" w:rsidRDefault="004A0001" w:rsidP="008D715A">
      <w:pPr>
        <w:pStyle w:val="HeadingCenter24a"/>
      </w:pPr>
      <w:r w:rsidRPr="004A0001">
        <w:t xml:space="preserve">przyjęte w pierwszym czytaniu w dniu 16 grudnia 2020 r. </w:t>
      </w:r>
    </w:p>
    <w:p w:rsidR="00523372" w:rsidRPr="004A0001" w:rsidRDefault="004A0001" w:rsidP="008D715A">
      <w:pPr>
        <w:pStyle w:val="HeadingCenter24a"/>
      </w:pPr>
      <w:r w:rsidRPr="004A0001">
        <w:t xml:space="preserve">w celu przyjęcia rozporządzenia Parlamentu Europejskiego i Rady (UE) 2020/... zmieniającego rozporządzenie (UE) nr 1303/2013 w odniesieniu do zasobów dodatkowych i przepisów wykonawczych ▌w celu zapewnienia pomocy na wspieranie kryzysowych działań naprawczych w kontekście pandemii COVID-19 </w:t>
      </w:r>
      <w:r w:rsidRPr="004A0001">
        <w:rPr>
          <w:i/>
        </w:rPr>
        <w:t>i jej skutków społecznych</w:t>
      </w:r>
      <w:r w:rsidRPr="004A0001">
        <w:t xml:space="preserve"> oraz przygotowanie do ekologicznej i cyfrowej odbudowy gospodarki zwiększającej jej odporność (REACT-EU)</w:t>
      </w:r>
    </w:p>
    <w:p w:rsidR="004A0001" w:rsidRPr="004A0001" w:rsidRDefault="004A0001" w:rsidP="004A0001">
      <w:pPr>
        <w:spacing w:before="600" w:after="120" w:line="360" w:lineRule="auto"/>
        <w:rPr>
          <w:szCs w:val="20"/>
        </w:rPr>
      </w:pPr>
      <w:r w:rsidRPr="004A0001">
        <w:rPr>
          <w:szCs w:val="20"/>
        </w:rPr>
        <w:t>PARLAMENT EUROPEJSKI I RADA UNII EUROPEJSKIEJ,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uwzględniając Traktat o funkcjonowaniu Unii Europejskiej, w szczególności jego art. 177 i art. 322 ust. 1 lit. a),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uwzględniając wniosek Komisji Europejskiej,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po przekazaniu projektu aktu ustawodawczego parlamentom narodowym,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uwzględniając opinię Trybunału Obrachunkowego</w:t>
      </w:r>
      <w:r w:rsidRPr="004A0001">
        <w:rPr>
          <w:szCs w:val="20"/>
          <w:vertAlign w:val="superscript"/>
        </w:rPr>
        <w:footnoteReference w:id="1"/>
      </w:r>
      <w:r w:rsidRPr="004A0001">
        <w:rPr>
          <w:szCs w:val="20"/>
        </w:rPr>
        <w:t>,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po konsultacji z Europejskim Komitetem Ekonomiczno-Społecznym,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uwzględniając opinię Komitetu Regionów</w:t>
      </w:r>
      <w:r w:rsidRPr="004A0001">
        <w:rPr>
          <w:szCs w:val="20"/>
          <w:vertAlign w:val="superscript"/>
        </w:rPr>
        <w:footnoteReference w:id="2"/>
      </w:r>
      <w:r w:rsidRPr="004A0001">
        <w:rPr>
          <w:szCs w:val="20"/>
        </w:rPr>
        <w:t xml:space="preserve">, 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stanowiąc zgodnie ze zwykłą procedurą ustawodawczą</w:t>
      </w:r>
      <w:r w:rsidRPr="004A0001">
        <w:rPr>
          <w:szCs w:val="20"/>
          <w:vertAlign w:val="superscript"/>
        </w:rPr>
        <w:footnoteReference w:id="3"/>
      </w:r>
      <w:r w:rsidRPr="004A0001">
        <w:rPr>
          <w:szCs w:val="20"/>
        </w:rPr>
        <w:t>,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lastRenderedPageBreak/>
        <w:t>a także mając na uwadze, co następuje: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(1)</w:t>
      </w:r>
      <w:r w:rsidRPr="004A0001">
        <w:rPr>
          <w:szCs w:val="20"/>
        </w:rPr>
        <w:tab/>
        <w:t xml:space="preserve">Państwa członkowskie zostały w sposób bezprecedensowy dotknięte kryzysem wynikającym z </w:t>
      </w:r>
      <w:r w:rsidRPr="004A0001">
        <w:rPr>
          <w:b/>
          <w:i/>
          <w:szCs w:val="20"/>
        </w:rPr>
        <w:t>gospodarczych, społecznych i zdrowotnych</w:t>
      </w:r>
      <w:r w:rsidRPr="004A0001">
        <w:rPr>
          <w:szCs w:val="20"/>
        </w:rPr>
        <w:t xml:space="preserve"> skutków pandemii COVID-19. Kryzys ten hamuje wzrost gospodarczy w państwach członkowskich, co z kolei pogłębia poważne niedobory płynności spowodowane nagłym i znaczącym wzrostem inwestycji publicznych potrzebnych w systemach ochrony zdrowia państw członkowskich i w innych sektorach ich gospodarek. </w:t>
      </w:r>
      <w:r w:rsidRPr="004A0001">
        <w:rPr>
          <w:b/>
          <w:i/>
          <w:szCs w:val="20"/>
        </w:rPr>
        <w:t xml:space="preserve">Kryzys doprowadził również do pogorszenia sytuacji osób zagrożonych ubóstwem, a tym samym do zmniejszenia spójności społecznej w państwach członkowskich. Ponadto zamknięcie granic wewnętrznych wywarło poważny wpływ na współpracę gospodarczą, w szczególności na obszarach przygranicznych, i wpłynęło na sytuację pracowników dojeżdżających do pracy i rentowność mikro-, małych i średnich przedsiębiorstw (MŚP). </w:t>
      </w:r>
      <w:r w:rsidRPr="004A0001">
        <w:rPr>
          <w:szCs w:val="20"/>
        </w:rPr>
        <w:t>Stworzyło to wyjątkową sytuację, której rozwiązanie wymaga użycia szczególnych</w:t>
      </w:r>
      <w:r w:rsidRPr="004A0001">
        <w:rPr>
          <w:b/>
          <w:i/>
          <w:szCs w:val="20"/>
        </w:rPr>
        <w:t>, natychmiastowych i nadzwyczajnych</w:t>
      </w:r>
      <w:r w:rsidRPr="004A0001">
        <w:rPr>
          <w:szCs w:val="20"/>
        </w:rPr>
        <w:t xml:space="preserve"> środków</w:t>
      </w:r>
      <w:r w:rsidRPr="004A0001">
        <w:rPr>
          <w:b/>
          <w:i/>
          <w:szCs w:val="20"/>
        </w:rPr>
        <w:t>, które szybko dotrą do realnej gospodarki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(2)</w:t>
      </w:r>
      <w:r w:rsidRPr="004A0001">
        <w:rPr>
          <w:szCs w:val="20"/>
        </w:rPr>
        <w:tab/>
        <w:t>W odpowiedzi na skutki sytuacji kryzysowej zmieniono rozporządzenia</w:t>
      </w:r>
      <w:r w:rsidRPr="004A0001">
        <w:rPr>
          <w:b/>
          <w:i/>
          <w:szCs w:val="20"/>
        </w:rPr>
        <w:t xml:space="preserve"> </w:t>
      </w:r>
      <w:r w:rsidRPr="004A0001">
        <w:rPr>
          <w:szCs w:val="20"/>
        </w:rPr>
        <w:t>Parlamentu Europejskiego i Rady (UE) nr 1301/2013</w:t>
      </w:r>
      <w:r w:rsidRPr="004A0001">
        <w:rPr>
          <w:szCs w:val="20"/>
          <w:vertAlign w:val="superscript"/>
        </w:rPr>
        <w:footnoteReference w:id="4"/>
      </w:r>
      <w:r w:rsidRPr="004A0001">
        <w:rPr>
          <w:szCs w:val="20"/>
        </w:rPr>
        <w:t xml:space="preserve"> i (UE) nr 1303/2013</w:t>
      </w:r>
      <w:r w:rsidRPr="004A0001">
        <w:rPr>
          <w:szCs w:val="20"/>
          <w:vertAlign w:val="superscript"/>
        </w:rPr>
        <w:footnoteReference w:id="5"/>
      </w:r>
      <w:r w:rsidRPr="004A0001">
        <w:rPr>
          <w:szCs w:val="20"/>
        </w:rPr>
        <w:t xml:space="preserve"> w drodze rozporządzenia Parlamentu Europejskiego i Rady (UE) 2020/460</w:t>
      </w:r>
      <w:r w:rsidRPr="004A0001">
        <w:rPr>
          <w:szCs w:val="20"/>
          <w:vertAlign w:val="superscript"/>
        </w:rPr>
        <w:footnoteReference w:id="6"/>
      </w:r>
      <w:r w:rsidRPr="004A0001">
        <w:rPr>
          <w:szCs w:val="20"/>
        </w:rPr>
        <w:t xml:space="preserve"> w celu zapewnienia większej elastyczności we wdrażaniu programów operacyjnych wspieranych z Europejskiego Funduszu Rozwoju Regionalnego („EFRR”), Europejskiego Funduszu Społecznego („EFS”) i Funduszu Spójności (zwanych dalej łącznie „funduszami polityki spójności”), a także Europejskiego Funduszu Morskiego i Rybackiego („EFMR”). Jednak z uwagi na fakt, iż poważne negatywne skutki dla gospodarek i społeczeństw Unii uległy dalszemu pogorszeniu, oba rozporządzenia zostały ponownie zmienione rozporządzeniem Parlamentu Europejskiego i Rady (UE) 2020/558</w:t>
      </w:r>
      <w:r w:rsidRPr="004A0001">
        <w:rPr>
          <w:szCs w:val="20"/>
          <w:vertAlign w:val="superscript"/>
        </w:rPr>
        <w:footnoteReference w:id="7"/>
      </w:r>
      <w:r w:rsidRPr="004A0001">
        <w:rPr>
          <w:szCs w:val="20"/>
        </w:rPr>
        <w:t xml:space="preserve">. Te zmiany zapewniły nadzwyczajną dodatkową elastyczność pozwalającą państwom członkowskim na skupienie się na niezbędnej reakcji na bezprecedensowy kryzys poprzez zwiększenie możliwości mobilizacji niewykorzystanych środków wsparcia z funduszy polityki spójności oraz uproszczenie wymogów proceduralnych związanych z wdrażaniem programów </w:t>
      </w:r>
      <w:r w:rsidRPr="004A0001">
        <w:rPr>
          <w:szCs w:val="20"/>
        </w:rPr>
        <w:lastRenderedPageBreak/>
        <w:t xml:space="preserve">i audytami.  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bookmarkStart w:id="0" w:name="_GoBack"/>
      <w:bookmarkEnd w:id="0"/>
      <w:r w:rsidRPr="004A0001">
        <w:rPr>
          <w:szCs w:val="20"/>
        </w:rPr>
        <w:t>(3)</w:t>
      </w:r>
      <w:r w:rsidRPr="004A0001">
        <w:rPr>
          <w:szCs w:val="20"/>
        </w:rPr>
        <w:tab/>
        <w:t xml:space="preserve">W dniu 23 kwietnia 2020 r. Rada Europejska zatwierdziła „Plan odbudowy” w celu zrekompensowania skutków ogromnych wstrząsów w gospodarce </w:t>
      </w:r>
      <w:r w:rsidRPr="004A0001">
        <w:rPr>
          <w:b/>
          <w:i/>
          <w:szCs w:val="20"/>
        </w:rPr>
        <w:t>i złagodzenia z jednej strony skutków społecznych i gospodarczych dla Unii</w:t>
      </w:r>
      <w:r w:rsidRPr="004A0001">
        <w:rPr>
          <w:szCs w:val="20"/>
        </w:rPr>
        <w:t xml:space="preserve"> wynikających z nadzwyczajnych restrykcji wprowadzonych przez państwa członkowskie w celu ograniczenia rozprzestrzeniania się COVID-19,</w:t>
      </w:r>
      <w:r w:rsidRPr="004A0001">
        <w:rPr>
          <w:b/>
          <w:i/>
          <w:szCs w:val="20"/>
        </w:rPr>
        <w:t xml:space="preserve"> </w:t>
      </w:r>
      <w:r w:rsidRPr="004A0001">
        <w:rPr>
          <w:szCs w:val="20"/>
        </w:rPr>
        <w:t xml:space="preserve">a z drugiej strony ryzyka asymetrycznej odbudowy wynikającej z różnych środków krajowych dostępnych w różnych państwach członkowskich, </w:t>
      </w:r>
      <w:r w:rsidRPr="004A0001">
        <w:rPr>
          <w:b/>
          <w:i/>
          <w:szCs w:val="20"/>
        </w:rPr>
        <w:t xml:space="preserve">co z kolei wywarło </w:t>
      </w:r>
      <w:r w:rsidRPr="004A0001">
        <w:rPr>
          <w:szCs w:val="20"/>
        </w:rPr>
        <w:t xml:space="preserve">poważny wpływ na funkcjonowanie rynku wewnętrznego. Plan odbudowy zawiera mocny element inwestycyjny; wezwano w nim do utworzenia Europejskiego Funduszu Odbudowy. Ponadto, </w:t>
      </w:r>
      <w:r w:rsidRPr="004A0001">
        <w:rPr>
          <w:b/>
          <w:i/>
          <w:szCs w:val="20"/>
        </w:rPr>
        <w:t>jak</w:t>
      </w:r>
      <w:r w:rsidRPr="004A0001">
        <w:rPr>
          <w:szCs w:val="20"/>
        </w:rPr>
        <w:t xml:space="preserve"> </w:t>
      </w:r>
      <w:r w:rsidRPr="004A0001">
        <w:rPr>
          <w:b/>
          <w:i/>
          <w:szCs w:val="20"/>
        </w:rPr>
        <w:t>potwierdzono w konkluzjach Rady Europejskiej z dnia 21 lipca 2020 r.</w:t>
      </w:r>
      <w:r w:rsidRPr="004A0001">
        <w:rPr>
          <w:szCs w:val="20"/>
        </w:rPr>
        <w:t xml:space="preserve">, upoważnia on Komisję do przeanalizowania potrzeb w taki sposób, aby zasoby zostały skierowane do najbardziej dotkniętych sektorów i obszarów geograficznych Unii, wyjaśniając jednocześnie związek z wieloletnimi ramami finansowymi na lata 2021–2027. 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(4)</w:t>
      </w:r>
      <w:r w:rsidRPr="004A0001">
        <w:rPr>
          <w:szCs w:val="20"/>
        </w:rPr>
        <w:tab/>
        <w:t xml:space="preserve">Zgodnie z rozporządzeniem Rady (UE) .../... </w:t>
      </w:r>
      <w:r w:rsidRPr="004A0001">
        <w:rPr>
          <w:szCs w:val="20"/>
          <w:vertAlign w:val="superscript"/>
        </w:rPr>
        <w:footnoteReference w:id="8"/>
      </w:r>
      <w:r w:rsidRPr="004A0001">
        <w:rPr>
          <w:szCs w:val="20"/>
          <w:vertAlign w:val="superscript"/>
        </w:rPr>
        <w:footnoteReference w:customMarkFollows="1" w:id="9"/>
        <w:t>+</w:t>
      </w:r>
      <w:r w:rsidRPr="004A0001">
        <w:rPr>
          <w:szCs w:val="20"/>
        </w:rPr>
        <w:t xml:space="preserve"> i w granicach zasobów w nim przydzielonych należy wprowadzić środki na odbudowę i zwiększenie odporności gospodarki w ramach europejskich funduszy strukturalnych i inwestycyjnych w celu zaradzenia bezprecedensowym skutkom kryzysu związanego z COVID-19. Takie dodatkowe zasoby powinny zostać wykorzystane do zapewnienia przestrzegania terminów przewidzianych w rozporządzeniu (UE) .../....</w:t>
      </w:r>
      <w:r w:rsidRPr="004A0001">
        <w:rPr>
          <w:szCs w:val="20"/>
          <w:vertAlign w:val="superscript"/>
        </w:rPr>
        <w:footnoteReference w:customMarkFollows="1" w:id="10"/>
        <w:t>++</w:t>
      </w:r>
      <w:r w:rsidRPr="004A0001">
        <w:rPr>
          <w:szCs w:val="20"/>
        </w:rPr>
        <w:t>. ▌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(5)</w:t>
      </w:r>
      <w:r w:rsidRPr="004A0001">
        <w:rPr>
          <w:szCs w:val="20"/>
        </w:rPr>
        <w:tab/>
        <w:t xml:space="preserve">Niniejsze rozporządzenie ustanawia zasady i przepisy wykonawcze dotyczące zasobów dodatkowych zapewnionych jako wsparcie na rzecz odbudowy służącej spójności oraz terytoriom Europy („REACT-EU”) w celu zapewnienia pomocy na wspieranie kryzysowych działań naprawczych w kontekście pandemii COVID-19 i jej skutków społecznych oraz przygotowanie  do ekologicznej i cyfrowej odbudowy gospodarki zwiększającej jej odporność. W ramach REACT-EU  należy udostępnić dodatkową, nadzwyczajną kwotę w wysokości nieprzekraczającej </w:t>
      </w:r>
      <w:r w:rsidRPr="004A0001">
        <w:rPr>
          <w:b/>
          <w:i/>
          <w:szCs w:val="20"/>
        </w:rPr>
        <w:t>47 500 000 000 EUR</w:t>
      </w:r>
      <w:r w:rsidRPr="004A0001">
        <w:rPr>
          <w:szCs w:val="20"/>
        </w:rPr>
        <w:t xml:space="preserve"> według cen z 2018 r. na zobowiązanie budżetowe z funduszy strukturalnych ▌na lata ▌2021 i 2022, w celu udzielenia pomocy państwom członkowskim i regionom najbardziej dotkniętym kryzysem na wspieranie kryzysowych działań naprawczych w kontekście pandemii COVID-19</w:t>
      </w:r>
      <w:r w:rsidRPr="004A0001">
        <w:rPr>
          <w:b/>
          <w:i/>
          <w:szCs w:val="20"/>
        </w:rPr>
        <w:t xml:space="preserve"> i jej skutków społecznych</w:t>
      </w:r>
      <w:r w:rsidRPr="004A0001">
        <w:rPr>
          <w:szCs w:val="20"/>
        </w:rPr>
        <w:t xml:space="preserve"> </w:t>
      </w:r>
      <w:r w:rsidRPr="004A0001">
        <w:rPr>
          <w:b/>
          <w:i/>
          <w:szCs w:val="20"/>
        </w:rPr>
        <w:t>oraz</w:t>
      </w:r>
      <w:r w:rsidRPr="004A0001">
        <w:rPr>
          <w:szCs w:val="20"/>
        </w:rPr>
        <w:t xml:space="preserve"> na przygotowanie do ekologicznej i cyfrowej odbudowy gospodarki zwiększającej jej odporność („zasoby REACT-EU”), z myślą o szybkim przekazaniu zasobów do realnej gospodarki za pośrednictwem istniejących programów operacyjnych. Zasoby</w:t>
      </w:r>
      <w:r w:rsidRPr="004A0001">
        <w:rPr>
          <w:b/>
          <w:i/>
          <w:szCs w:val="20"/>
        </w:rPr>
        <w:t xml:space="preserve"> REACT-EU</w:t>
      </w:r>
      <w:r w:rsidRPr="004A0001">
        <w:rPr>
          <w:szCs w:val="20"/>
        </w:rPr>
        <w:t xml:space="preserve"> pochodzą z Instrumentu Unii Europejskiej na rzecz Odbudowy. Część zasobów REACT-EU powinno się przydzielić na pomoc techniczną z inicjatywy Komisji. Komisja powinna określić podział zasobów REACT-EU dla każdego państwa członkowskiego na podstawie metody alokacji opartej na najnowszych dostępnych obiektywnych danych statystycznych dotyczących względnej zamożności państw członkowskich oraz skali skutków kryzysu związanego z COVID-19 dla ich gospodarek i społeczeństw.</w:t>
      </w:r>
      <w:r w:rsidRPr="004A0001">
        <w:rPr>
          <w:b/>
          <w:i/>
          <w:szCs w:val="20"/>
        </w:rPr>
        <w:t xml:space="preserve"> </w:t>
      </w:r>
      <w:r w:rsidRPr="004A0001">
        <w:rPr>
          <w:b/>
          <w:bCs/>
          <w:i/>
          <w:szCs w:val="20"/>
        </w:rPr>
        <w:t>Przed zastosowaniem metody alokacji dotyczącej zasobów REACT-EU na 2021 r. oraz aby zapewnić wsparcie dla najważniejszych sektorów w następstwie kryzysu związanego z COVID-19 w niektórych państwach członkowskich, należy przydzielić Luksemburgowi i Malcie kwotę, odpowiednio, 100 000 000 EUR i 50 000 000 EUR.</w:t>
      </w:r>
      <w:r w:rsidRPr="004A0001">
        <w:rPr>
          <w:bCs/>
          <w:szCs w:val="20"/>
        </w:rPr>
        <w:t xml:space="preserve"> </w:t>
      </w:r>
      <w:r w:rsidRPr="004A0001">
        <w:rPr>
          <w:szCs w:val="20"/>
        </w:rPr>
        <w:t>Metoda alokacji powinna uwzględniać specjalną kwotę dodatkową dla regionów najbardziej oddalonych ze względu na szczególną wrażliwość ich gospodarek i społeczeństw. W celu odzwierciedlenia zmieniającego się charakteru skutków kryzysu związanego z COVID-19, podział należy poddać przeglądowi w 2021 r. w oparciu o tę samą metodę alokacji i z wykorzystaniem najnowszych danych statystycznych dostępnych na dzień 19 października 2021 r., tak aby rozdzielić zasoby REACT-EU przewidziane w transzy na 2022 r.</w:t>
      </w:r>
    </w:p>
    <w:p w:rsidR="004A0001" w:rsidRPr="004A0001" w:rsidRDefault="004A0001" w:rsidP="004A0001">
      <w:pPr>
        <w:rPr>
          <w:b/>
          <w:bCs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bCs/>
          <w:i/>
          <w:szCs w:val="20"/>
        </w:rPr>
      </w:pPr>
      <w:r w:rsidRPr="004A0001">
        <w:rPr>
          <w:b/>
          <w:bCs/>
          <w:i/>
          <w:szCs w:val="20"/>
        </w:rPr>
        <w:lastRenderedPageBreak/>
        <w:t>(6) </w:t>
      </w:r>
      <w:r w:rsidRPr="004A0001">
        <w:rPr>
          <w:b/>
          <w:bCs/>
          <w:i/>
          <w:szCs w:val="20"/>
        </w:rPr>
        <w:tab/>
        <w:t>Mając na uwadze znaczenie przeciwdziałania zmianie klimatu zgodnie z zobowiązaniami Unii na rzecz realizacji porozumienia paryskiego i celów zrównoważonego rozwoju ONZ, fundusze polityki spójności przyczynią się do upowszechniania działań w dziedzinie klimatu i do osiągnięcia celu ogólnego zakładającego, iż 30 % wydatków budżetowych Unii ma być przeznaczone na wsparcie realizacji celów klimatycznych. Oczekuje się, że w ramach REACT-EU, 25 % całkowitej puli środków finansowych zostanie przeznaczone na cele związane z klimatem. Biorąc pod uwagę charakter REACT-EU jako instrumentu służącego naprawianiu szkód spowodowanych kryzysem oraz elastyczność przewidzianą w niniejszym rozporządzeniu, w tym brak wymogów koncentracji tematycznej i możliwość przydzielania przez państwa członkowskie zasobów REACT-UE na wsparcie operacji w rodzaju tych prowadzonych w ramach EFRR lub EFS, w zależności od swych potrzeb, poziom wkładów państw członkowskich w realizację tego celu może się różnić w zależności od priorytetów krajowych.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(7)</w:t>
      </w:r>
      <w:r w:rsidRPr="004A0001">
        <w:rPr>
          <w:szCs w:val="20"/>
        </w:rPr>
        <w:tab/>
        <w:t>Do niniejszego rozporządzenia stosuje się horyzontalne zasady finansowe przyjęte przez Parlament Europejski i Radę na podstawie art. 322 Traktatu o funkcjonowaniu Unii Europejskiej (TFUE). Zasady te zostały ustanowione w rozporządzeniu Parlamentu Europejskiego i Rady (UE, Euratom) 2018/1046</w:t>
      </w:r>
      <w:r w:rsidRPr="004A0001">
        <w:rPr>
          <w:szCs w:val="20"/>
          <w:vertAlign w:val="superscript"/>
        </w:rPr>
        <w:footnoteReference w:id="11"/>
      </w:r>
      <w:r w:rsidRPr="004A0001">
        <w:rPr>
          <w:szCs w:val="20"/>
        </w:rPr>
        <w:t xml:space="preserve"> (zwanym dalej „rozporządzeniem finansowym”) i określają w szczególności procedurę uchwalania i wykonywania budżetu w drodze dotacji, zamówień, nagród i wykonania pośredniego oraz przewidują kontrolę odpowiedzialności podmiotów upoważnionych do działań finansowych. Zasady przyjęte na podstawie art. 322 TFUE obejmują również </w:t>
      </w:r>
      <w:r w:rsidRPr="004A0001">
        <w:rPr>
          <w:b/>
          <w:i/>
          <w:szCs w:val="20"/>
        </w:rPr>
        <w:t>ogólny system warunkowości służący ochronie budżetu Unii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(8)</w:t>
      </w:r>
      <w:r w:rsidRPr="004A0001">
        <w:rPr>
          <w:szCs w:val="20"/>
        </w:rPr>
        <w:tab/>
        <w:t xml:space="preserve">Aby zapewnić państwom członkowskim maksymalną elastyczność w dopasowywaniu kryzysowych działań naprawczych w kontekście pandemii COVID-19 </w:t>
      </w:r>
      <w:r w:rsidRPr="004A0001">
        <w:rPr>
          <w:b/>
          <w:i/>
          <w:szCs w:val="20"/>
        </w:rPr>
        <w:t>i jej skutków społecznych</w:t>
      </w:r>
      <w:r w:rsidRPr="004A0001">
        <w:rPr>
          <w:szCs w:val="20"/>
        </w:rPr>
        <w:t xml:space="preserve"> </w:t>
      </w:r>
      <w:r w:rsidRPr="004A0001">
        <w:rPr>
          <w:b/>
          <w:i/>
          <w:szCs w:val="20"/>
        </w:rPr>
        <w:t>oraz</w:t>
      </w:r>
      <w:r w:rsidRPr="004A0001">
        <w:rPr>
          <w:szCs w:val="20"/>
        </w:rPr>
        <w:t xml:space="preserve"> w przygotowaniach do ekologicznej i cyfrowej odbudowy gospodarki zwiększającej jej odporność, Komisja powinna określać alokacje na szczeblu państw członkowskich. Ponadto należy przewidzieć możliwość wykorzystania wszelkich zasobów REACT-EU do wsparcia pomocy dla osób najbardziej potrzebujących oraz </w:t>
      </w:r>
      <w:r w:rsidRPr="004A0001">
        <w:rPr>
          <w:b/>
          <w:i/>
          <w:szCs w:val="20"/>
        </w:rPr>
        <w:t>Inicjatywy na rzecz zatrudnienia ludzi młodych</w:t>
      </w:r>
      <w:r w:rsidRPr="004A0001">
        <w:rPr>
          <w:szCs w:val="20"/>
        </w:rPr>
        <w:t xml:space="preserve">. Ponadto konieczne jest ustalenie pułapów dotyczących alokacji środków na pomoc techniczną z inicjatywy państw członkowskich, przy jednoczesnym zapewnieniu państwom członkowskim maksymalnej elastyczności w odniesieniu do alokacji takich środków w ramach programów operacyjnych wspieranych z EFRR lub EFS. </w:t>
      </w:r>
      <w:r w:rsidRPr="004A0001">
        <w:rPr>
          <w:b/>
          <w:i/>
          <w:iCs/>
          <w:szCs w:val="20"/>
        </w:rPr>
        <w:t xml:space="preserve">Należy utrzymać siłę operacyjną EFS przy przydzielaniu zasobów REACT-EU w takich dziedzinach jak zatrudnienie (w szczególności zatrudnienie ludzi młodych, zgodnie ze wzmocnioną gwarancją dla młodzieży), umiejętności i kształcenie, włączenie społeczne oraz zdrowie, ze szczególnym uwzględnieniem pomocy dla grup w niekorzystnej sytuacji i dzieci. </w:t>
      </w:r>
      <w:r w:rsidRPr="004A0001">
        <w:rPr>
          <w:szCs w:val="20"/>
        </w:rPr>
        <w:t xml:space="preserve">Biorąc pod uwagę oczekiwane szybkie wydatkowanie zasobów </w:t>
      </w:r>
      <w:r w:rsidRPr="004A0001">
        <w:rPr>
          <w:b/>
          <w:i/>
          <w:iCs/>
          <w:szCs w:val="20"/>
        </w:rPr>
        <w:t>REACT-EU</w:t>
      </w:r>
      <w:r w:rsidRPr="004A0001">
        <w:rPr>
          <w:szCs w:val="20"/>
        </w:rPr>
        <w:t>, zobowiązania związane z tymi zasobami powinny zostać anulowane dopiero z chwilą zamknięcia programów operacyjnych.</w:t>
      </w:r>
    </w:p>
    <w:p w:rsidR="004A0001" w:rsidRPr="004A0001" w:rsidRDefault="004A0001" w:rsidP="004A0001">
      <w:pPr>
        <w:rPr>
          <w:b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i/>
          <w:szCs w:val="20"/>
        </w:rPr>
      </w:pPr>
      <w:r w:rsidRPr="004A0001">
        <w:rPr>
          <w:b/>
          <w:i/>
          <w:szCs w:val="20"/>
        </w:rPr>
        <w:lastRenderedPageBreak/>
        <w:t>(9)</w:t>
      </w:r>
      <w:r w:rsidRPr="004A0001">
        <w:rPr>
          <w:b/>
          <w:i/>
          <w:szCs w:val="20"/>
        </w:rPr>
        <w:tab/>
        <w:t xml:space="preserve">Ponieważ pandemia COVID-19 dotknęła regiony i gminy w państwach członkowskich w różnym stopniu, zaangażowanie podmiotów lokalnych i regionalnych wywodzących się z organów administracyjnych, partnerów gospodarczych i społecznych oraz społeczeństwa obywatelskiego, zgodnie z zasadą partnerstwa, ma duże znaczenie dla przygotowania, wdrażania, monitorowania i oceny kryzysowych działań naprawczych wspieranych przez REACT-EU. 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(10)</w:t>
      </w:r>
      <w:r w:rsidRPr="004A0001">
        <w:rPr>
          <w:szCs w:val="20"/>
        </w:rPr>
        <w:tab/>
        <w:t>W przypadku zasobów REACT-EU należy również wprowadzić możliwości przesuwania środków finansowych w ramach celu „Inwestycje na rzecz wzrostu i zatrudnienia” między EFRR i EFS ▌zgodnie z art. 25a rozporządzenia (UE) nr 1303/2013. Takie przesunięcia nie powinny mieć wpływu na zasoby dostępne w ramach celu „Europejska współpraca terytorialna” ani na szczególną alokację środków na Inicjatywę na rzecz zatrudnienia ludzi młodych.</w:t>
      </w:r>
    </w:p>
    <w:p w:rsidR="004A0001" w:rsidRPr="004A0001" w:rsidRDefault="004A0001" w:rsidP="004A0001">
      <w:pPr>
        <w:rPr>
          <w:color w:val="000000" w:themeColor="text1"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color w:val="000000" w:themeColor="text1"/>
          <w:szCs w:val="20"/>
        </w:rPr>
      </w:pPr>
      <w:r w:rsidRPr="004A0001">
        <w:rPr>
          <w:color w:val="000000" w:themeColor="text1"/>
          <w:szCs w:val="20"/>
        </w:rPr>
        <w:lastRenderedPageBreak/>
        <w:t>(11)</w:t>
      </w:r>
      <w:r w:rsidRPr="004A0001">
        <w:rPr>
          <w:color w:val="000000" w:themeColor="text1"/>
          <w:szCs w:val="20"/>
        </w:rPr>
        <w:tab/>
      </w:r>
      <w:r w:rsidRPr="004A0001">
        <w:rPr>
          <w:szCs w:val="20"/>
        </w:rPr>
        <w:t xml:space="preserve">W celu uzupełnienia działań objętych już zakresem wsparcia dostępnego z EFRR, które rozszerzono rozporządzeniami (UE) 2020/460 i (UE) 2020/558, należy umożliwić państwom członkowskim dalsze korzystanie z zasobów REACT-EU przede wszystkim na inwestycje w zakresie produktów i usług na potrzeby świadczeń zdrowotnych, </w:t>
      </w:r>
      <w:r w:rsidRPr="004A0001">
        <w:rPr>
          <w:b/>
          <w:i/>
          <w:szCs w:val="20"/>
        </w:rPr>
        <w:t>w tym transgranicznych świadczeń zdrowotnych, oraz opieki instytucjonalnej, środowiskowej i rodzinnej</w:t>
      </w:r>
      <w:r w:rsidRPr="004A0001">
        <w:rPr>
          <w:szCs w:val="20"/>
        </w:rPr>
        <w:t xml:space="preserve">, na zapewnianie wsparcia w postaci kapitału obrotowego lub wsparcia na inwestycje dla MŚP, </w:t>
      </w:r>
      <w:r w:rsidRPr="004A0001">
        <w:rPr>
          <w:b/>
          <w:i/>
          <w:szCs w:val="20"/>
        </w:rPr>
        <w:t>w tym wsparcia doradczego, w szczególności w sektorach najbardziej dotkniętych pandemią COVID-19 i wymagających szybkiej rewitalizacji, takich jak turystyka i kultura</w:t>
      </w:r>
      <w:r w:rsidRPr="004A0001">
        <w:rPr>
          <w:szCs w:val="20"/>
        </w:rPr>
        <w:t xml:space="preserve">, na inwestycje przyczyniające się do transformacji ku cyfrowej i ekologicznej gospodarce, na inwestycje w infrastrukturę zapewniającą obywatelom </w:t>
      </w:r>
      <w:r w:rsidRPr="004A0001">
        <w:rPr>
          <w:b/>
          <w:i/>
          <w:szCs w:val="20"/>
        </w:rPr>
        <w:t>niedyskryminujące</w:t>
      </w:r>
      <w:r w:rsidRPr="004A0001">
        <w:rPr>
          <w:szCs w:val="20"/>
        </w:rPr>
        <w:t xml:space="preserve"> usługi podstawowe oraz na środki wsparcia gospodarczego w regionach, które są ▌ w największym stopniu uzależnione od sektorów najsilniej dotkniętych kryzysem COVID-19. </w:t>
      </w:r>
      <w:r w:rsidRPr="004A0001">
        <w:rPr>
          <w:b/>
          <w:i/>
          <w:szCs w:val="20"/>
        </w:rPr>
        <w:t>Należy także wspierać ściślejszą współpracę, koordynację i odporność w dziedzinie zdrowia. Ponadto wsparciem powinna być objęta  pomoc</w:t>
      </w:r>
      <w:r w:rsidRPr="004A0001">
        <w:rPr>
          <w:szCs w:val="20"/>
        </w:rPr>
        <w:t xml:space="preserve"> techniczna. Zasoby REACT-EU powinny być skupione wyłącznie w ramach nowego celu tematycznego „Wspieranie kryzysowych działań naprawczych w kontekście pandemii COVID-19 </w:t>
      </w:r>
      <w:r w:rsidRPr="004A0001">
        <w:rPr>
          <w:b/>
          <w:i/>
          <w:szCs w:val="20"/>
        </w:rPr>
        <w:t>i jej skutków społecznych</w:t>
      </w:r>
      <w:r w:rsidRPr="004A0001">
        <w:rPr>
          <w:szCs w:val="20"/>
        </w:rPr>
        <w:t xml:space="preserve"> </w:t>
      </w:r>
      <w:r w:rsidRPr="004A0001">
        <w:rPr>
          <w:b/>
          <w:i/>
          <w:szCs w:val="20"/>
        </w:rPr>
        <w:t>oraz</w:t>
      </w:r>
      <w:r w:rsidRPr="004A0001">
        <w:rPr>
          <w:szCs w:val="20"/>
        </w:rPr>
        <w:t xml:space="preserve"> przygotowanie do ekologicznej i cyfrowej odbudowy gospodarki zwiększającej jej odporność”, który powinien również stanowić jedyny priorytet inwestycyjny, tak aby umożliwić uproszczone programowanie i wdrażanie tych zasobów.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(12)</w:t>
      </w:r>
      <w:r w:rsidRPr="004A0001">
        <w:rPr>
          <w:szCs w:val="20"/>
        </w:rPr>
        <w:tab/>
        <w:t xml:space="preserve">W przypadku EFS państwa członkowskie powinny wykorzystać zasoby REACT-EU przede wszystkim do </w:t>
      </w:r>
      <w:r w:rsidRPr="004A0001">
        <w:rPr>
          <w:b/>
          <w:i/>
          <w:szCs w:val="20"/>
        </w:rPr>
        <w:t>wspierania dostępu do rynku pracy i systemów społecznych, zapewniając utrzymanie</w:t>
      </w:r>
      <w:r w:rsidRPr="004A0001">
        <w:rPr>
          <w:szCs w:val="20"/>
        </w:rPr>
        <w:t xml:space="preserve"> miejsc pracy, w tym poprzez mechanizmy zmniejszonego wymiaru czasu pracy i wsparcie dla osób pracujących na własny rachunek jak również</w:t>
      </w:r>
      <w:r w:rsidRPr="004A0001">
        <w:rPr>
          <w:b/>
          <w:i/>
          <w:szCs w:val="20"/>
        </w:rPr>
        <w:t xml:space="preserve"> przedsiębiorców oraz osób wykonujących wolne zawody, artystów i pracowników sektora kreatywnego</w:t>
      </w:r>
      <w:r w:rsidRPr="004A0001">
        <w:rPr>
          <w:szCs w:val="20"/>
        </w:rPr>
        <w:t xml:space="preserve">. </w:t>
      </w:r>
      <w:r w:rsidRPr="004A0001">
        <w:rPr>
          <w:b/>
          <w:bCs/>
          <w:i/>
          <w:szCs w:val="20"/>
        </w:rPr>
        <w:t xml:space="preserve">Mechanizmy zmniejszonego wymiaru czasu pracy i podobne środki, w szczególności dla osób pracujących na własny rachunek, mają na celu ochronę pracowników i osób pracujących na własny rachunek przed ryzykiem bezrobocia, przy jednoczesnym utrzymaniu tego samego poziomu warunków pracy i zatrudnienia oraz wynagrodzeń pracowników. Zasoby </w:t>
      </w:r>
      <w:r w:rsidRPr="004A0001">
        <w:rPr>
          <w:szCs w:val="20"/>
        </w:rPr>
        <w:t>REACT-EU</w:t>
      </w:r>
      <w:r w:rsidRPr="004A0001">
        <w:rPr>
          <w:b/>
          <w:bCs/>
          <w:i/>
          <w:szCs w:val="20"/>
        </w:rPr>
        <w:t xml:space="preserve"> przeznaczone na takie mechanizmy mają być wykorzystane wyłącznie do wspierania pracowników. W kontekście obecnych nadzwyczajnych okoliczności spowodowanych pandemią COVID-19 powinno być możliwe zapewnienie wsparcia dla mechanizmów zmniejszonego wymiaru czasu pracy dla pracowników i wsparcia dla osób pracujących na własny rachunek, nawet jeżeli wsparcie to nie wiąże się z aktywnymi instrumentami rynku pracy, chyba że instrumenty te są wymagane przez prawo krajowe. Zasada ta powinna mieć również jednolite zastosowanie do mechanizmów zmniejszonego wymiaru czasu pracy, które uzyskały wsparcie zgodnie z rozporządzeniem (UE) nr 1303/2013 zmienionym rozporządzeniami (UE) 2020/460 i (UE) 2020/558 w następstwie kryzysu związanego z kryzysem COVID-19 i które nadal są wspierane w ramach specjalnego priorytetu inwestycyjnego „Wspieranie kryzysowych działań naprawczych w kontekście pandemii COVID-19 i jej skutków społecznych oraz przygotowanie do ekologicznej i cyfrowej odbudowy gospodarki zwiększającej jej odporność”. Wsparcie unijne dla takich mechanizmów zmniejszonego wymiaru czasu pracy powinno być ograniczone w czasie.</w:t>
      </w:r>
    </w:p>
    <w:p w:rsidR="004A0001" w:rsidRPr="004A0001" w:rsidRDefault="004A0001" w:rsidP="004A0001">
      <w:pPr>
        <w:rPr>
          <w:b/>
          <w:bCs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/>
        <w:rPr>
          <w:b/>
          <w:bCs/>
          <w:i/>
          <w:iCs/>
          <w:szCs w:val="20"/>
        </w:rPr>
      </w:pPr>
      <w:r w:rsidRPr="004A0001">
        <w:rPr>
          <w:b/>
          <w:i/>
          <w:szCs w:val="20"/>
        </w:rPr>
        <w:lastRenderedPageBreak/>
        <w:t>Należy również wspierać tworzenie</w:t>
      </w:r>
      <w:r w:rsidRPr="004A0001">
        <w:rPr>
          <w:szCs w:val="20"/>
        </w:rPr>
        <w:t xml:space="preserve"> miejsc pracy </w:t>
      </w:r>
      <w:r w:rsidRPr="004A0001">
        <w:rPr>
          <w:b/>
          <w:i/>
          <w:szCs w:val="20"/>
        </w:rPr>
        <w:t>i wysokiej jakości zatrudnienia</w:t>
      </w:r>
      <w:r w:rsidRPr="004A0001">
        <w:rPr>
          <w:szCs w:val="20"/>
        </w:rPr>
        <w:t xml:space="preserve">, w szczególności dla osób w trudnej sytuacji, </w:t>
      </w:r>
      <w:r w:rsidRPr="004A0001">
        <w:rPr>
          <w:b/>
          <w:i/>
          <w:szCs w:val="20"/>
        </w:rPr>
        <w:t>a także środki</w:t>
      </w:r>
      <w:r w:rsidRPr="004A0001">
        <w:rPr>
          <w:szCs w:val="20"/>
        </w:rPr>
        <w:t xml:space="preserve"> na rzecz </w:t>
      </w:r>
      <w:r w:rsidRPr="004A0001">
        <w:rPr>
          <w:b/>
          <w:i/>
          <w:szCs w:val="20"/>
        </w:rPr>
        <w:t>włączenia społecznego i eliminacji ubóstwa</w:t>
      </w:r>
      <w:r w:rsidRPr="004A0001">
        <w:rPr>
          <w:szCs w:val="20"/>
        </w:rPr>
        <w:t>.</w:t>
      </w:r>
      <w:r w:rsidRPr="004A0001">
        <w:rPr>
          <w:b/>
          <w:bCs/>
          <w:i/>
          <w:szCs w:val="20"/>
        </w:rPr>
        <w:t xml:space="preserve"> </w:t>
      </w:r>
      <w:r w:rsidRPr="004A0001">
        <w:rPr>
          <w:b/>
          <w:i/>
          <w:szCs w:val="20"/>
        </w:rPr>
        <w:t>Środki na rzecz zatrudnienia młodzieży powinny zostać rozszerzone zgodnie ze wzmocnioną gwarancją dla młodzieży.</w:t>
      </w:r>
      <w:r w:rsidRPr="004A0001">
        <w:rPr>
          <w:b/>
          <w:bCs/>
          <w:i/>
          <w:szCs w:val="20"/>
        </w:rPr>
        <w:t> </w:t>
      </w:r>
      <w:r w:rsidRPr="004A0001">
        <w:rPr>
          <w:b/>
          <w:i/>
          <w:szCs w:val="20"/>
        </w:rPr>
        <w:t>Należy zapewnić inwestycje w kształcenie, szkolenie i rozwój</w:t>
      </w:r>
      <w:r w:rsidRPr="004A0001">
        <w:rPr>
          <w:szCs w:val="20"/>
        </w:rPr>
        <w:t xml:space="preserve"> umiejętności, </w:t>
      </w:r>
      <w:r w:rsidRPr="004A0001">
        <w:rPr>
          <w:b/>
          <w:i/>
          <w:szCs w:val="20"/>
        </w:rPr>
        <w:t>w tym przekwalifikowanie i podnoszenie kwalifikacji, w szczególności w odniesieniu do grup w niekorzystnej sytuacji</w:t>
      </w:r>
      <w:r w:rsidRPr="004A0001">
        <w:rPr>
          <w:szCs w:val="20"/>
        </w:rPr>
        <w:t>.</w:t>
      </w:r>
      <w:r w:rsidRPr="004A0001">
        <w:rPr>
          <w:b/>
          <w:i/>
          <w:szCs w:val="20"/>
        </w:rPr>
        <w:t xml:space="preserve"> Należy promować równy dostęp</w:t>
      </w:r>
      <w:r w:rsidRPr="004A0001">
        <w:rPr>
          <w:szCs w:val="20"/>
        </w:rPr>
        <w:t xml:space="preserve"> do usług socjalnych świadczonych w interesie ogólnym, w tym dla dzieci, </w:t>
      </w:r>
      <w:r w:rsidRPr="004A0001">
        <w:rPr>
          <w:b/>
          <w:i/>
          <w:szCs w:val="20"/>
        </w:rPr>
        <w:t>osób starszych, osób z niepełnosprawnościami, mniejszości etnicznych i osób bezdomnych</w:t>
      </w:r>
      <w:r w:rsidRPr="004A0001">
        <w:rPr>
          <w:szCs w:val="20"/>
        </w:rPr>
        <w:t>.</w:t>
      </w:r>
      <w:r w:rsidRPr="004A0001">
        <w:rPr>
          <w:b/>
          <w:bCs/>
          <w:i/>
          <w:szCs w:val="20"/>
        </w:rPr>
        <w:t xml:space="preserve"> 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rFonts w:eastAsia="Calibri"/>
          <w:b/>
          <w:i/>
          <w:szCs w:val="20"/>
        </w:rPr>
      </w:pPr>
      <w:r w:rsidRPr="004A0001">
        <w:rPr>
          <w:b/>
          <w:i/>
          <w:szCs w:val="20"/>
        </w:rPr>
        <w:t xml:space="preserve">(14) </w:t>
      </w:r>
      <w:r w:rsidRPr="004A0001">
        <w:rPr>
          <w:b/>
          <w:i/>
          <w:szCs w:val="20"/>
        </w:rPr>
        <w:tab/>
        <w:t>Ponadto państwa członkowskie powinny nadal zwracać szczególną uwagę na osoby mieszkające w regionach wiejskich, przygranicznych, słabiej rozwiniętych, wyspiarskich, górskich, słabo zaludnionych i najbardziej oddalonych, a także na obszarach przechodzących transformację przemysłową i borykających się z wyludnieniem, oraz, w stosownych przypadkach, wykorzystywać zasoby REACT-EU na wsparcie udzielane takim osobom.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i/>
          <w:iCs/>
          <w:szCs w:val="20"/>
        </w:rPr>
      </w:pPr>
      <w:r w:rsidRPr="004A0001">
        <w:rPr>
          <w:b/>
          <w:i/>
          <w:iCs/>
          <w:szCs w:val="20"/>
        </w:rPr>
        <w:t xml:space="preserve">(15) </w:t>
      </w:r>
      <w:r w:rsidRPr="004A0001">
        <w:rPr>
          <w:b/>
          <w:i/>
          <w:iCs/>
          <w:szCs w:val="20"/>
        </w:rPr>
        <w:tab/>
        <w:t xml:space="preserve">Ponieważ tymczasowe zamknięcie granic między państwami członkowskimi doprowadziło do poważnych wyzwań dla społeczności i przedsiębiorstw transgranicznych, należy umożliwić państwom członkowskim przeznaczenie zasobów </w:t>
      </w:r>
      <w:r w:rsidRPr="004A0001">
        <w:rPr>
          <w:b/>
          <w:i/>
          <w:szCs w:val="20"/>
        </w:rPr>
        <w:t>REACT-EU</w:t>
      </w:r>
      <w:r w:rsidRPr="004A0001">
        <w:rPr>
          <w:b/>
          <w:i/>
          <w:iCs/>
          <w:szCs w:val="20"/>
        </w:rPr>
        <w:t xml:space="preserve"> również na istniejące programy transgraniczne w ramach celu „Europejska współpraca terytorialna”.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(16)</w:t>
      </w:r>
      <w:r w:rsidRPr="004A0001">
        <w:rPr>
          <w:szCs w:val="20"/>
        </w:rPr>
        <w:tab/>
        <w:t xml:space="preserve">Aby zagwarantować państwom członkowskim wystarczające zasoby finansowe na szybkie wprowadzenie w życie kryzysowych działań naprawczych w kontekście pandemii COVID-19 i </w:t>
      </w:r>
      <w:r w:rsidRPr="004A0001">
        <w:rPr>
          <w:b/>
          <w:i/>
          <w:szCs w:val="20"/>
        </w:rPr>
        <w:t xml:space="preserve">jej skutków społecznych oraz </w:t>
      </w:r>
      <w:r w:rsidRPr="004A0001">
        <w:rPr>
          <w:szCs w:val="20"/>
        </w:rPr>
        <w:t xml:space="preserve">przygotowanie do ekologicznej i cyfrowej odbudowy gospodarki zwiększającej jej odporność, konieczne jest zapewnienie wyższych początkowych płatności zaliczkowych na potrzeby szybkiego wdrożenia działań wspieranych z zasobów REACT-EU. Początkowe płatności zaliczkowe powinny zapewnić państwom członkowskim środki umożliwiające, w razie konieczności, wypłatę zaliczek na rzecz beneficjentów oraz szybki zwrot kosztów beneficjentom po przedłożeniu wniosku o płatność.  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(17)</w:t>
      </w:r>
      <w:r w:rsidRPr="004A0001">
        <w:rPr>
          <w:szCs w:val="20"/>
        </w:rPr>
        <w:tab/>
        <w:t xml:space="preserve">Państwa członkowskie powinny mieć możliwość przydzielania zasobów REACT-EU na nowe odrębne programy operacyjne </w:t>
      </w:r>
      <w:r w:rsidRPr="004A0001">
        <w:rPr>
          <w:b/>
          <w:i/>
          <w:szCs w:val="20"/>
        </w:rPr>
        <w:t xml:space="preserve">w ramach celu „Inwestycje na rzecz wzrostu i zatrudnienia” </w:t>
      </w:r>
      <w:r w:rsidRPr="004A0001">
        <w:rPr>
          <w:szCs w:val="20"/>
        </w:rPr>
        <w:t>lub na nowe osie priorytetowe istniejących programów</w:t>
      </w:r>
      <w:r w:rsidRPr="004A0001">
        <w:rPr>
          <w:b/>
          <w:i/>
          <w:szCs w:val="20"/>
        </w:rPr>
        <w:t xml:space="preserve"> w ramach celów: „Inwestycje na rzecz wzrostu i zatrudnienia” i „Europejska współpraca terytorialna”</w:t>
      </w:r>
      <w:r w:rsidRPr="004A0001">
        <w:rPr>
          <w:szCs w:val="20"/>
        </w:rPr>
        <w:t xml:space="preserve">. Aby umożliwić szybkie wdrożenie działań, w odniesieniu do nowych odrębnych programów operacyjnych należy zezwolić na wskazywanie jedynie już wyznaczonych organów istniejących programów operacyjnych wspieranych z EFRR, EFS lub Funduszu Spójności. Nie należy wymagać od państw członkowskich ewaluacji </w:t>
      </w:r>
      <w:r w:rsidRPr="004A0001">
        <w:rPr>
          <w:i/>
          <w:szCs w:val="20"/>
        </w:rPr>
        <w:t>ex ante</w:t>
      </w:r>
      <w:r w:rsidRPr="004A0001">
        <w:rPr>
          <w:szCs w:val="20"/>
        </w:rPr>
        <w:t xml:space="preserve"> i należy ograniczyć elementy wymagane w celu przedłożenia programu operacyjnego do zatwierdzenia przez Komisję.</w:t>
      </w:r>
    </w:p>
    <w:p w:rsidR="004A0001" w:rsidRPr="004A0001" w:rsidRDefault="004A0001" w:rsidP="004A0001">
      <w:pPr>
        <w:rPr>
          <w:b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i/>
          <w:szCs w:val="20"/>
        </w:rPr>
      </w:pPr>
      <w:r w:rsidRPr="004A0001">
        <w:rPr>
          <w:b/>
          <w:i/>
          <w:szCs w:val="20"/>
        </w:rPr>
        <w:lastRenderedPageBreak/>
        <w:t>(18)</w:t>
      </w:r>
      <w:r w:rsidRPr="004A0001">
        <w:rPr>
          <w:b/>
          <w:i/>
          <w:szCs w:val="20"/>
        </w:rPr>
        <w:tab/>
        <w:t xml:space="preserve">Zasoby </w:t>
      </w:r>
      <w:r w:rsidRPr="004A0001">
        <w:rPr>
          <w:szCs w:val="20"/>
        </w:rPr>
        <w:t>REACT-EU</w:t>
      </w:r>
      <w:r w:rsidRPr="004A0001">
        <w:rPr>
          <w:b/>
          <w:i/>
          <w:szCs w:val="20"/>
        </w:rPr>
        <w:t xml:space="preserve"> należy wykorzystywać zgodnie z zasadą zrównoważonego rozwoju i zasadą „nie szkodzić”, biorąc pod uwagę porozumienie paryskie i cele zrównoważonego rozwoju ONZ. Ponadto przez cały czas wdrażania programów operacyjnych należy mieć na uwadze i propagować równość kobiet i mężczyzn oraz uwzględnianie aspektu płci i perspektywy płci.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(19)</w:t>
      </w:r>
      <w:r w:rsidRPr="004A0001">
        <w:rPr>
          <w:szCs w:val="20"/>
        </w:rPr>
        <w:tab/>
        <w:t xml:space="preserve">Aby zmniejszyć obciążenie budżetów publicznych w związku z kryzysowymi działaniami naprawczymi w kontekście pandemii COVID-19 i </w:t>
      </w:r>
      <w:r w:rsidRPr="004A0001">
        <w:rPr>
          <w:b/>
          <w:i/>
          <w:szCs w:val="20"/>
        </w:rPr>
        <w:t xml:space="preserve">jej skutków społecznych oraz </w:t>
      </w:r>
      <w:r w:rsidRPr="004A0001">
        <w:rPr>
          <w:szCs w:val="20"/>
        </w:rPr>
        <w:t xml:space="preserve">przygotowaniami do ekologicznej i cyfrowej odbudowy gospodarki zwiększającej jej odporność, </w:t>
      </w:r>
      <w:r w:rsidRPr="004A0001">
        <w:rPr>
          <w:b/>
          <w:i/>
          <w:szCs w:val="20"/>
        </w:rPr>
        <w:t>wydatki na operacje powinny kwalifikować się do wsparcia od 1 lutego 2020 r., a ponadto</w:t>
      </w:r>
      <w:r w:rsidRPr="004A0001">
        <w:rPr>
          <w:szCs w:val="20"/>
        </w:rPr>
        <w:t xml:space="preserve"> należy wyjątkowo umożliwić państwom członkowskim wnioskowanie o dofinansowanie na poziomie 100 % w odniesieniu do odrębnych osi priorytetowych programów operacyjnych zapewniających wsparcie z zasobów REACT-EU.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bCs/>
          <w:i/>
          <w:iCs/>
          <w:szCs w:val="20"/>
        </w:rPr>
      </w:pPr>
      <w:r w:rsidRPr="004A0001">
        <w:rPr>
          <w:b/>
          <w:bCs/>
          <w:i/>
          <w:iCs/>
          <w:szCs w:val="20"/>
        </w:rPr>
        <w:t xml:space="preserve">(20) </w:t>
      </w:r>
      <w:r w:rsidRPr="004A0001">
        <w:rPr>
          <w:b/>
          <w:bCs/>
          <w:i/>
          <w:iCs/>
          <w:szCs w:val="20"/>
        </w:rPr>
        <w:tab/>
        <w:t xml:space="preserve">Mimo, iż ważne jest, aby 31 grudnia 2023 r. pozostał datą końcową kwalifikowalności w okresie programowania 2014–2020, należy jasno stwierdzić, że operacje mogą nadal być wybierane do udzielenia wsparcia przez cały 2023 r.  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bCs/>
          <w:i/>
          <w:iCs/>
          <w:szCs w:val="20"/>
        </w:rPr>
      </w:pPr>
      <w:r w:rsidRPr="004A0001">
        <w:rPr>
          <w:b/>
          <w:bCs/>
          <w:i/>
          <w:iCs/>
          <w:szCs w:val="20"/>
        </w:rPr>
        <w:t xml:space="preserve">(21) </w:t>
      </w:r>
      <w:r w:rsidRPr="004A0001">
        <w:rPr>
          <w:b/>
          <w:bCs/>
          <w:i/>
          <w:iCs/>
          <w:szCs w:val="20"/>
        </w:rPr>
        <w:tab/>
        <w:t>Aby zapewnić ciągłość realizacji niektórych operacji uzyskujących wsparcie z zasobów REACT-EU, zastosowanie powinny mieć przepisy dotyczące etapów zawarte w rozporządzeniu ustanawiającym wspólne przepisy dotyczące Europejskiego Funduszu Rozwoju Regionalnego, Europejskiego Funduszu Społecznego Plus, Funduszu Spójności, Funduszu na rzecz Sprawiedliwej Transformacji i Europejskiego Funduszu Morskiego i Rybackiego, a także przepisy finansowe na potrzeby tych funduszy oraz na potrzeby Funduszu Azylu i Migracji, Funduszu Bezpieczeństwa Wewnętrznego i Instrumentu na rzecz Zarządzania Granicami i Wiz.</w:t>
      </w:r>
    </w:p>
    <w:p w:rsidR="004A0001" w:rsidRPr="004A0001" w:rsidRDefault="004A0001" w:rsidP="004A0001">
      <w:pPr>
        <w:rPr>
          <w:b/>
          <w:bCs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i/>
          <w:szCs w:val="20"/>
        </w:rPr>
      </w:pPr>
      <w:r w:rsidRPr="004A0001">
        <w:rPr>
          <w:b/>
          <w:bCs/>
          <w:i/>
          <w:szCs w:val="20"/>
        </w:rPr>
        <w:lastRenderedPageBreak/>
        <w:t xml:space="preserve">(22) </w:t>
      </w:r>
      <w:r w:rsidRPr="004A0001">
        <w:rPr>
          <w:b/>
          <w:bCs/>
          <w:i/>
          <w:szCs w:val="20"/>
        </w:rPr>
        <w:tab/>
      </w:r>
      <w:r w:rsidRPr="004A0001">
        <w:rPr>
          <w:b/>
          <w:i/>
          <w:szCs w:val="20"/>
        </w:rPr>
        <w:t>Zgodnie ze szczególnymi środkami zapewniającymi elastyczność w odpowiedzi na epidemię COVID-19, wprowadzonymi do rozporządzenia (UE) nr 1303/2013 rozporządzeniem (UE) 2020/558, wydatki na ukończone fizycznie lub w pełni zrealizowane operacje wspierające kryzysowe działania naprawcze w kontekście pandemii COVID-19 i jej skutków społecznych oraz przygotowania do ekologicznej i cyfrowej odbudowy gospodarki zwiększającej jej odporność, uzyskujące wsparcie w ramach odpowiedniego nowego celu tematycznego, również powinny kwalifikować się do wsparcia, pod warunkiem że dane operacje rozpoczęto od 1 lutego 2020 r.</w:t>
      </w:r>
      <w:r w:rsidRPr="004A0001">
        <w:rPr>
          <w:b/>
          <w:i/>
          <w:szCs w:val="20"/>
          <w:shd w:val="clear" w:color="auto" w:fill="FFFFFF"/>
        </w:rPr>
        <w:t xml:space="preserve"> 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(23)</w:t>
      </w:r>
      <w:r w:rsidRPr="004A0001">
        <w:rPr>
          <w:szCs w:val="20"/>
        </w:rPr>
        <w:tab/>
        <w:t xml:space="preserve">Aby umożliwić państwom członkowskim szybkie wykorzystanie zasobów REACT-EU w trakcie obecnego okresu programowania, w odniesieniu do zasobów REACT-EU uzasadnione jest zwolnienie, w drodze wyjątku, państw członkowskich z obowiązku spełniania warunków wstępnych, wymogów dotyczących rezerwy wykonania i stosowania ram wykonania, wymogów koncentracji tematycznej – również w odniesieniu do pułapów ustanowionych dla zrównoważonego rozwoju obszarów miejskich w ramach EFRR – oraz wymogów dotyczących przygotowania strategii komunikacji. Niemniej państwa członkowskie powinny przeprowadzić co najmniej jedną ewaluację do 31 grudnia 2024 r., aby ocenić skuteczność, efektywność, wpływ </w:t>
      </w:r>
      <w:r w:rsidRPr="004A0001">
        <w:rPr>
          <w:b/>
          <w:i/>
          <w:szCs w:val="20"/>
        </w:rPr>
        <w:t>i włączenie</w:t>
      </w:r>
      <w:r w:rsidRPr="004A0001">
        <w:rPr>
          <w:szCs w:val="20"/>
        </w:rPr>
        <w:t xml:space="preserve"> zasobów REACT-EU oraz przeanalizować sposób, w jaki zasoby te przyczyniły się do osiągnięcia założeń nowego specjalnego celu tematycznego. Aby ułatwić dostęp do porównywalnych informacji na poziomie Unii, </w:t>
      </w:r>
      <w:r w:rsidRPr="004A0001">
        <w:rPr>
          <w:b/>
          <w:i/>
          <w:szCs w:val="20"/>
        </w:rPr>
        <w:t>w stosownych przypadkach powinno się wymagać</w:t>
      </w:r>
      <w:r w:rsidRPr="004A0001">
        <w:rPr>
          <w:szCs w:val="20"/>
        </w:rPr>
        <w:t xml:space="preserve"> od państw członkowskich korzystania ze wskaźników specyficznych dla programu </w:t>
      </w:r>
      <w:r w:rsidRPr="004A0001">
        <w:rPr>
          <w:b/>
          <w:i/>
          <w:szCs w:val="20"/>
        </w:rPr>
        <w:t>dotyczących COVID-19</w:t>
      </w:r>
      <w:r w:rsidRPr="004A0001">
        <w:rPr>
          <w:szCs w:val="20"/>
        </w:rPr>
        <w:t xml:space="preserve"> udostępnionych przez Komisję. Ponadto, wykonując swoje obowiązki związane z informowaniem, komunikacją i widocznością, państwa członkowskie i instytucje zarządzające powinny zwiększyć widoczność nadzwyczajnych środków i zasobów wprowadzonych przez Unię: w szczególności powinny one zapewnić, aby potencjalni beneficjenci, beneficjenci, uczestnicy i ostateczni odbiorcy instrumentów finansowych, a także ogół społeczeństwa, wiedzieli o istnieniu zasobów REACT-EU, znali ich skali oraz mieli świadomość, że dzięki nim możliwe jest uzyskanie dodatkowego wsparcia.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(24)</w:t>
      </w:r>
      <w:r w:rsidRPr="004A0001">
        <w:rPr>
          <w:szCs w:val="20"/>
        </w:rPr>
        <w:tab/>
        <w:t>Aby umożliwić skierowanie zasobów REACT-EU do obszarów geograficznych, które najbardziej ich potrzebują, jako środka nadzwyczajnego i bez uszczerbku dla zasad ogólnych dotyczących przydzielania zasobów funduszy strukturalnych, w przypadku zasobów REACT-EU przydzielonych na EFRR oraz EFS nie należy wymagać rozbicia według kategorii regionów. Oczekuje się jednak, że państwa członkowskie wezmą pod uwagę zróżnicowane potrzeby i poziomy rozwoju regionów, aby zagwarantować</w:t>
      </w:r>
      <w:r w:rsidRPr="004A0001">
        <w:rPr>
          <w:b/>
          <w:i/>
          <w:szCs w:val="20"/>
        </w:rPr>
        <w:t>, iż wsparcie będzie wyważone pod kątem potrzeb regionów i miast, które najbardziej ucierpiały w wyniku pandemii COVID-19, oraz potrzeby utrzymania koncentracji</w:t>
      </w:r>
      <w:r w:rsidRPr="004A0001">
        <w:rPr>
          <w:szCs w:val="20"/>
        </w:rPr>
        <w:t xml:space="preserve"> na regionach słabiej rozwiniętych, zgodnie z celami spójności gospodarczej, społecznej i terytorialnej określonymi w art. 174 TFUE. Zgodnie z zasadą partnerstwa, państwa członkowskie powinny również zaangażować władze lokalne i regionalne, a także odpowiednie podmioty reprezentujące społeczeństwo obywatelskie i partnerów społecznych.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i/>
          <w:szCs w:val="20"/>
        </w:rPr>
      </w:pPr>
      <w:r w:rsidRPr="004A0001">
        <w:rPr>
          <w:b/>
          <w:i/>
          <w:szCs w:val="20"/>
        </w:rPr>
        <w:t>(25)</w:t>
      </w:r>
      <w:r w:rsidRPr="004A0001">
        <w:rPr>
          <w:b/>
          <w:i/>
          <w:szCs w:val="20"/>
        </w:rPr>
        <w:tab/>
        <w:t>Z wyjątkiem przypadków, w odniesieniu do których w niniejszym rozporządzeniu przewidziano odstępstwa, wydatki w ramach REACT-EU powinny podlegać tym samym obowiązkom i zabezpieczeniom, co wszystkie środki przeznaczone na spójność. Obejmuje to poszanowanie praw podstawowych i przestrzeganie Karty praw podstawowych Unii Europejskiej, a także skuteczne środki zwalczania nadużyć finansowych wdrażane przy wsparciu istniejących agencji ds. zwalczania nadużyć finansowych na szczeblu państw członkowskich i Unii, takich jak Europejski Urząd ds. Zwalczania Nadużyć Finansowych i, w stosownych przypadkach, Prokuratura Europejska.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b/>
          <w:i/>
          <w:szCs w:val="20"/>
        </w:rPr>
      </w:pPr>
      <w:r w:rsidRPr="004A0001">
        <w:rPr>
          <w:b/>
          <w:i/>
          <w:szCs w:val="20"/>
        </w:rPr>
        <w:lastRenderedPageBreak/>
        <w:t>(26)</w:t>
      </w:r>
      <w:r w:rsidRPr="004A0001">
        <w:rPr>
          <w:b/>
          <w:i/>
          <w:szCs w:val="20"/>
        </w:rPr>
        <w:tab/>
        <w:t>W przypadku przyjmowania środków mających na celu ochronę budżetu Unii, kluczowe jest należyte zabezpieczenie uzasadnionych interesów ostatecznych odbiorców i beneficjentów.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(27)</w:t>
      </w:r>
      <w:r w:rsidRPr="004A0001">
        <w:rPr>
          <w:szCs w:val="20"/>
        </w:rPr>
        <w:tab/>
        <w:t>W celu ułatwienia realizacji przesunięć dopuszczonych na podstawie zmian wprowadzonych w niniejszym rozporządzeniu, do przesunięć tych nie powinien mieć zastosowania warunek określony w art. 30 ust. 1 lit. f) rozporządzenia finansowego dotyczący przeznaczenia środków na ten sam cel.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(28)</w:t>
      </w:r>
      <w:r w:rsidRPr="004A0001">
        <w:rPr>
          <w:szCs w:val="20"/>
        </w:rPr>
        <w:tab/>
        <w:t>Ponieważ cel niniejszego rozporządzenia, a mianowicie reakcja na skutki kryzysu związanego z COVID-19 w dziedzinie zdrowia publicznego przez wprowadzenie środków zapewniających elastyczność w dziedzinie udzielania wsparcia z europejskich funduszy strukturalnych i inwestycyjnych, nie może zostać osiągnięty w sposób wystarczający przez państwa członkowskie, natomiast ze względu na rozmiary i skutki proponowanego działania możliwe jest lepsze jego osiągnięcie na poziomie Unii, może ona przyjąć środki zgodnie z zasadą pomocniczości określoną w art. 5 Traktatu o Unii Europejskiej. Zgodnie z zasadą proporcjonalności określoną w tym artykule niniejsze rozporządzenie nie wykracza poza to, co jest konieczne do osiągnięcia tego celu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 xml:space="preserve">(29)  </w:t>
      </w:r>
      <w:r w:rsidRPr="004A0001">
        <w:rPr>
          <w:szCs w:val="20"/>
        </w:rPr>
        <w:tab/>
        <w:t>Ze względu na pilny charakter sytuacji związanej z pandemią COVID-19 niniejsze rozporządzenie powinno wejść w życie następnego dnia po jego opublikowaniu w </w:t>
      </w:r>
      <w:r w:rsidRPr="004A0001">
        <w:rPr>
          <w:i/>
          <w:szCs w:val="20"/>
        </w:rPr>
        <w:t>Dzienniku Urzędowym Unii Europejskiej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▌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lastRenderedPageBreak/>
        <w:t>(30)</w:t>
      </w:r>
      <w:r w:rsidRPr="004A0001">
        <w:rPr>
          <w:szCs w:val="20"/>
        </w:rPr>
        <w:tab/>
        <w:t>Należy zatem odpowiednio zmienić rozporządzenie (UE) nr 1303/2013.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(30)</w:t>
      </w:r>
      <w:r w:rsidRPr="004A0001">
        <w:rPr>
          <w:szCs w:val="20"/>
        </w:rPr>
        <w:tab/>
        <w:t>Art. 135 ust. 2 Umowy o wystąpieniu Zjednoczonego Królestwa Wielkiej Brytanii i Irlandii Północnej z Unii Europejskiej i Europejskiej Wspólnoty Energii Atomowej</w:t>
      </w:r>
      <w:r w:rsidRPr="004A0001">
        <w:rPr>
          <w:szCs w:val="20"/>
          <w:vertAlign w:val="superscript"/>
        </w:rPr>
        <w:footnoteReference w:id="12"/>
      </w:r>
      <w:r w:rsidRPr="004A0001">
        <w:rPr>
          <w:szCs w:val="20"/>
        </w:rPr>
        <w:t xml:space="preserve"> stanowi, że zmiany w rozporządzeniu Rady (UE, Euratom) nr 1311/2013</w:t>
      </w:r>
      <w:r w:rsidRPr="004A0001">
        <w:rPr>
          <w:szCs w:val="20"/>
          <w:vertAlign w:val="superscript"/>
        </w:rPr>
        <w:footnoteReference w:id="13"/>
      </w:r>
      <w:r w:rsidRPr="004A0001">
        <w:rPr>
          <w:szCs w:val="20"/>
        </w:rPr>
        <w:t xml:space="preserve"> lub decyzji Rady 2014/335/UE, Euratom</w:t>
      </w:r>
      <w:r w:rsidRPr="004A0001">
        <w:rPr>
          <w:szCs w:val="20"/>
          <w:vertAlign w:val="superscript"/>
        </w:rPr>
        <w:footnoteReference w:id="14"/>
      </w:r>
      <w:r w:rsidRPr="004A0001">
        <w:rPr>
          <w:szCs w:val="20"/>
        </w:rPr>
        <w:t xml:space="preserve">, które przyjęto w dniu wejścia w życie wspomnianej umowy lub po tej dacie, nie mają zastosowania do Zjednoczonego Królestwa w zakresie, w jakim wpływają na zobowiązania finansowe Zjednoczonego Królestwa. Wsparcie na mocy niniejszego rozporządzenia na ▌lata 2021 i 2022 </w:t>
      </w:r>
      <w:r w:rsidRPr="004A0001">
        <w:rPr>
          <w:b/>
          <w:i/>
          <w:szCs w:val="20"/>
        </w:rPr>
        <w:t>finansuje się</w:t>
      </w:r>
      <w:r w:rsidRPr="004A0001">
        <w:rPr>
          <w:szCs w:val="20"/>
        </w:rPr>
        <w:t xml:space="preserve"> ze zwiększenia pułapu zasobów własnych Unii, co miałoby wpływ na zobowiązania finansowe Zjednoczonego Królestwa. Niniejsze rozporządzenie nie powinno mieć zatem zastosowania do Zjednoczonego Królestwa ani na jego terytorium,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PRZYJMUJĄ NINIEJSZE ROZPORZĄDZENIE: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jc w:val="center"/>
        <w:rPr>
          <w:szCs w:val="20"/>
        </w:rPr>
      </w:pPr>
      <w:r w:rsidRPr="004A0001">
        <w:rPr>
          <w:szCs w:val="20"/>
        </w:rPr>
        <w:lastRenderedPageBreak/>
        <w:t>Artykuł 1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W rozporządzeniu (UE) nr 1303/2013 wprowadza się następujące zmiany:</w:t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szCs w:val="20"/>
        </w:rPr>
        <w:t>1)</w:t>
      </w:r>
      <w:r w:rsidRPr="004A0001">
        <w:rPr>
          <w:szCs w:val="20"/>
        </w:rPr>
        <w:tab/>
        <w:t xml:space="preserve">▌dodaje się następujące artykuły▌: 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szCs w:val="20"/>
        </w:rPr>
      </w:pPr>
      <w:r w:rsidRPr="004A0001">
        <w:rPr>
          <w:szCs w:val="20"/>
        </w:rPr>
        <w:t>„Artykuł 92a</w:t>
      </w:r>
      <w:r w:rsidRPr="004A0001">
        <w:rPr>
          <w:szCs w:val="20"/>
        </w:rPr>
        <w:br/>
        <w:t>Zasoby REACT-EU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szCs w:val="20"/>
        </w:rPr>
      </w:pPr>
      <w:r w:rsidRPr="004A0001">
        <w:rPr>
          <w:szCs w:val="20"/>
        </w:rPr>
        <w:t>Działania, o których mowa w art. 1 ust. 2 rozporządzenia Rady (UE) .../...</w:t>
      </w:r>
      <w:r w:rsidRPr="004A0001">
        <w:rPr>
          <w:szCs w:val="20"/>
          <w:vertAlign w:val="superscript"/>
        </w:rPr>
        <w:t xml:space="preserve"> *</w:t>
      </w:r>
      <w:r w:rsidRPr="004A0001">
        <w:rPr>
          <w:szCs w:val="20"/>
          <w:vertAlign w:val="superscript"/>
        </w:rPr>
        <w:footnoteReference w:customMarkFollows="1" w:id="15"/>
        <w:t>+</w:t>
      </w:r>
      <w:r w:rsidRPr="004A0001">
        <w:rPr>
          <w:szCs w:val="20"/>
        </w:rPr>
        <w:t xml:space="preserve"> są wdrażane w ramach funduszy strukturalnych w wysokości do kwoty</w:t>
      </w:r>
      <w:r w:rsidRPr="004A0001">
        <w:rPr>
          <w:b/>
          <w:i/>
          <w:szCs w:val="20"/>
        </w:rPr>
        <w:t>47 500 000 000</w:t>
      </w:r>
      <w:r w:rsidRPr="004A0001">
        <w:rPr>
          <w:szCs w:val="20"/>
        </w:rPr>
        <w:t xml:space="preserve"> EUR według cen z 2018 r., o której mowa w art. 2 ust. 2 lit. a) ppkt (i) tego rozporządzenia, z zastrzeżeniem jego </w:t>
      </w:r>
      <w:r w:rsidRPr="004A0001">
        <w:rPr>
          <w:b/>
          <w:i/>
          <w:szCs w:val="20"/>
        </w:rPr>
        <w:t>art. 3 ust. 3, 4, 7 i 9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szCs w:val="20"/>
        </w:rPr>
      </w:pPr>
      <w:r w:rsidRPr="004A0001">
        <w:rPr>
          <w:b/>
          <w:i/>
          <w:szCs w:val="20"/>
        </w:rPr>
        <w:t xml:space="preserve">Te zasoby dodatkowe na lata 2021 i 2022, pochodzące z </w:t>
      </w:r>
      <w:r w:rsidRPr="004A0001">
        <w:rPr>
          <w:szCs w:val="20"/>
        </w:rPr>
        <w:t>Instrumentu Unii Europejskiej na rzecz Odbudowy</w:t>
      </w:r>
      <w:r w:rsidRPr="004A0001">
        <w:rPr>
          <w:b/>
          <w:i/>
          <w:szCs w:val="20"/>
        </w:rPr>
        <w:t xml:space="preserve">, zapewniają </w:t>
      </w:r>
      <w:r w:rsidRPr="004A0001">
        <w:rPr>
          <w:szCs w:val="20"/>
        </w:rPr>
        <w:t xml:space="preserve">pomoc na wspieranie kryzysowych działań naprawczych w kontekście pandemii COVID-19 i </w:t>
      </w:r>
      <w:r w:rsidRPr="004A0001">
        <w:rPr>
          <w:b/>
          <w:i/>
          <w:szCs w:val="20"/>
        </w:rPr>
        <w:t>jej skutków społecznych oraz</w:t>
      </w:r>
      <w:r w:rsidRPr="004A0001">
        <w:rPr>
          <w:szCs w:val="20"/>
        </w:rPr>
        <w:t xml:space="preserve"> przygotowanie do ekologicznej i cyfrowej odbudowy gospodarki zwiększającej jej odporność (zwane dalej „zasobami REACT-EU”).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szCs w:val="20"/>
        </w:rPr>
      </w:pPr>
      <w:r w:rsidRPr="004A0001">
        <w:rPr>
          <w:szCs w:val="20"/>
        </w:rPr>
        <w:t>Zgodnie z art. 3 ust. 1 rozporządzenia (UE)…/ …</w:t>
      </w:r>
      <w:r w:rsidRPr="004A0001">
        <w:rPr>
          <w:szCs w:val="20"/>
          <w:vertAlign w:val="superscript"/>
        </w:rPr>
        <w:footnoteReference w:customMarkFollows="1" w:id="16"/>
        <w:t>*</w:t>
      </w:r>
      <w:r w:rsidRPr="004A0001">
        <w:rPr>
          <w:szCs w:val="20"/>
        </w:rPr>
        <w:t>Zasoby REACT-EU stanowią zewnętrzne dochody przeznaczone na określony cel zgodnie z art. 21 ust. 5 rozporządzenia finansowego.</w:t>
      </w:r>
    </w:p>
    <w:p w:rsidR="004A0001" w:rsidRPr="004A0001" w:rsidRDefault="004A0001" w:rsidP="004A0001">
      <w:pPr>
        <w:rPr>
          <w:szCs w:val="22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/>
        <w:rPr>
          <w:iCs/>
          <w:szCs w:val="20"/>
        </w:rPr>
      </w:pPr>
      <w:r w:rsidRPr="004A0001">
        <w:rPr>
          <w:szCs w:val="20"/>
        </w:rPr>
        <w:lastRenderedPageBreak/>
        <w:t>Artykuł 92b</w:t>
      </w:r>
      <w:r w:rsidRPr="004A0001">
        <w:rPr>
          <w:szCs w:val="20"/>
        </w:rPr>
        <w:br/>
        <w:t>▌Przepisy wykonawcze dotyczące zasobów REACT-EU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rFonts w:cstheme="minorBidi"/>
          <w:b/>
          <w:i/>
          <w:szCs w:val="20"/>
        </w:rPr>
      </w:pPr>
      <w:r w:rsidRPr="004A0001">
        <w:rPr>
          <w:szCs w:val="20"/>
        </w:rPr>
        <w:t xml:space="preserve">1. </w:t>
      </w:r>
      <w:r w:rsidRPr="004A0001">
        <w:rPr>
          <w:szCs w:val="20"/>
        </w:rPr>
        <w:tab/>
        <w:t>Zasoby REACT-EU są udostępniane w ramach celu „Inwestycje na rzecz wzrostu i zatrudnienia”.</w:t>
      </w:r>
      <w:r w:rsidRPr="004A0001">
        <w:rPr>
          <w:b/>
          <w:i/>
          <w:szCs w:val="20"/>
        </w:rPr>
        <w:t xml:space="preserve"> 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rFonts w:cstheme="minorBidi"/>
          <w:b/>
          <w:bCs/>
          <w:i/>
          <w:szCs w:val="20"/>
        </w:rPr>
      </w:pPr>
      <w:r w:rsidRPr="004A0001">
        <w:rPr>
          <w:b/>
          <w:i/>
          <w:szCs w:val="20"/>
        </w:rPr>
        <w:t xml:space="preserve">Na zasadzie odstępstwa od art. 94 państwa członkowskie również wspólnie alokują część swoich zasobów </w:t>
      </w:r>
      <w:r w:rsidRPr="004A0001">
        <w:rPr>
          <w:szCs w:val="20"/>
        </w:rPr>
        <w:t>REACT-EU</w:t>
      </w:r>
      <w:r w:rsidRPr="004A0001">
        <w:rPr>
          <w:b/>
          <w:i/>
          <w:szCs w:val="20"/>
        </w:rPr>
        <w:t xml:space="preserve"> na programy współpracy transgranicznej w ramach celu „Europejska współpraca terytorialna”, w którym uczestniczą, jeżeli zgadzają się, że alokacje te odzwierciedlają ich odpowiednie priorytety krajowe.</w:t>
      </w:r>
      <w:r w:rsidRPr="004A0001">
        <w:rPr>
          <w:b/>
          <w:bCs/>
          <w:i/>
          <w:szCs w:val="20"/>
        </w:rPr>
        <w:t xml:space="preserve"> 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Zasoby REACT-EU wykorzystuje się do wdrażania pomocy technicznej zgodnie z ust. 6 niniejszego artykułu oraz operacji służących wdrażaniu celu tematycznego określonego w ust. </w:t>
      </w:r>
      <w:r w:rsidRPr="004A0001">
        <w:rPr>
          <w:b/>
          <w:i/>
          <w:szCs w:val="20"/>
        </w:rPr>
        <w:t>9</w:t>
      </w:r>
      <w:r w:rsidRPr="004A0001">
        <w:rPr>
          <w:szCs w:val="20"/>
        </w:rPr>
        <w:t xml:space="preserve"> akapit pierwszy niniejszego artykułu.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lastRenderedPageBreak/>
        <w:t xml:space="preserve">2. </w:t>
      </w:r>
      <w:r w:rsidRPr="004A0001">
        <w:rPr>
          <w:szCs w:val="20"/>
        </w:rPr>
        <w:tab/>
        <w:t xml:space="preserve">Zasoby REACT-EU udostępnia się na zobowiązanie budżetowe na lata </w:t>
      </w:r>
      <w:r w:rsidRPr="004A0001">
        <w:rPr>
          <w:b/>
          <w:i/>
          <w:szCs w:val="20"/>
        </w:rPr>
        <w:t>2021</w:t>
      </w:r>
      <w:r w:rsidRPr="004A0001">
        <w:rPr>
          <w:szCs w:val="20"/>
        </w:rPr>
        <w:t xml:space="preserve"> i 2022 jako uzupełnienie zasobów ogólnych, o których mowa w art. 91, a ich podział przedstawia się następująco: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▌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–</w:t>
      </w:r>
      <w:r w:rsidRPr="004A0001">
        <w:rPr>
          <w:szCs w:val="20"/>
        </w:rPr>
        <w:tab/>
        <w:t xml:space="preserve">2021: </w:t>
      </w:r>
      <w:r w:rsidRPr="004A0001">
        <w:rPr>
          <w:b/>
          <w:i/>
          <w:szCs w:val="20"/>
        </w:rPr>
        <w:t>37 500 000 000</w:t>
      </w:r>
      <w:r w:rsidRPr="004A0001">
        <w:rPr>
          <w:szCs w:val="20"/>
        </w:rPr>
        <w:t xml:space="preserve"> EUR;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–</w:t>
      </w:r>
      <w:r w:rsidRPr="004A0001">
        <w:rPr>
          <w:szCs w:val="20"/>
        </w:rPr>
        <w:tab/>
        <w:t xml:space="preserve">2022: </w:t>
      </w:r>
      <w:r w:rsidRPr="004A0001">
        <w:rPr>
          <w:b/>
          <w:i/>
          <w:szCs w:val="20"/>
        </w:rPr>
        <w:t>10 000 000 000</w:t>
      </w:r>
      <w:r w:rsidRPr="004A0001">
        <w:rPr>
          <w:szCs w:val="20"/>
        </w:rPr>
        <w:t xml:space="preserve"> EUR.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 xml:space="preserve">▌Zasoby REACT-EU ▌służą również wspieraniu wydatków administracyjnych do kwoty 18 000 000 EUR według cen </w:t>
      </w:r>
      <w:r w:rsidRPr="004A0001">
        <w:rPr>
          <w:b/>
          <w:i/>
          <w:szCs w:val="20"/>
        </w:rPr>
        <w:t>z 2018 r.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b/>
          <w:bCs/>
          <w:i/>
          <w:szCs w:val="20"/>
        </w:rPr>
      </w:pPr>
      <w:r w:rsidRPr="004A0001">
        <w:rPr>
          <w:b/>
          <w:bCs/>
          <w:i/>
          <w:szCs w:val="20"/>
        </w:rPr>
        <w:t xml:space="preserve">Operacje, na które przeznaczone jest wsparcie z zasobów </w:t>
      </w:r>
      <w:r w:rsidRPr="004A0001">
        <w:rPr>
          <w:szCs w:val="20"/>
        </w:rPr>
        <w:t>REACT-EU</w:t>
      </w:r>
      <w:r w:rsidRPr="004A0001">
        <w:rPr>
          <w:b/>
          <w:bCs/>
          <w:i/>
          <w:szCs w:val="20"/>
        </w:rPr>
        <w:t xml:space="preserve">, mogą być wybierane do udzielenia wsparcia do końca 2023 r. W przypadku operacji, które uzyskują wsparcie z zasobów </w:t>
      </w:r>
      <w:r w:rsidRPr="004A0001">
        <w:rPr>
          <w:szCs w:val="20"/>
        </w:rPr>
        <w:t>REACT-EU</w:t>
      </w:r>
      <w:r w:rsidRPr="004A0001">
        <w:rPr>
          <w:b/>
          <w:bCs/>
          <w:i/>
          <w:szCs w:val="20"/>
        </w:rPr>
        <w:t>, zastosowanie mają przepisy dotyczące etapów zawarte w rozporządzeniu ustanawiającym wspólne przepisy dotyczące Europejskiego Funduszu Rozwoju Regionalnego, Europejskiego Funduszu Społecznego Plus, Funduszu Spójności, Funduszu na rzecz Sprawiedliwej Transformacji i Europejskiego Funduszu Morskiego i Rybackiego, a także przepisy finansowe na potrzeby tych funduszy oraz na potrzeby Funduszu Azylu i Migracji, Funduszu Bezpieczeństwa Wewnętrznego i Instrumentu na rzecz Zarządzania Granicami i Wiz.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b/>
          <w:i/>
          <w:szCs w:val="20"/>
        </w:rPr>
      </w:pPr>
      <w:r w:rsidRPr="004A0001">
        <w:rPr>
          <w:szCs w:val="20"/>
        </w:rPr>
        <w:t xml:space="preserve">3. </w:t>
      </w:r>
      <w:r w:rsidRPr="004A0001">
        <w:rPr>
          <w:szCs w:val="20"/>
        </w:rPr>
        <w:tab/>
        <w:t>Kwotę w wysokości 0,35 % zasobów REACT-EU przeznacza się na pomoc techniczną z inicjatywy Komisji</w:t>
      </w:r>
      <w:r w:rsidRPr="004A0001">
        <w:rPr>
          <w:b/>
          <w:i/>
          <w:szCs w:val="20"/>
        </w:rPr>
        <w:t>, ze szczególnym uwzględnieniem państw członkowskich, które silniej odczuły skutki pandemii COVID-19, oraz państw członkowskich o niższych wskaźnikach absorpcji i wykonania.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lastRenderedPageBreak/>
        <w:t>4.</w:t>
      </w:r>
      <w:r w:rsidRPr="004A0001">
        <w:rPr>
          <w:szCs w:val="20"/>
        </w:rPr>
        <w:tab/>
        <w:t>Komisja, w drodze aktów wykonawczych, przyjmuje decyzję w sprawie podziału zasobów REACT-EU jako środków z funduszy strukturalnych na ▌2021 r. dla poszczególnych państw członkowskich zgodnie z kryteriami i metodą określonymi w załączniku VIIa. W 2021 r. należy dokonać przeglądu tej decyzji w celu określenia podziału zasobów REACT-EU na 2022 r. w oparciu o dane dostępne na dzień 19 października 2021 r.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t>5.</w:t>
      </w:r>
      <w:r w:rsidRPr="004A0001">
        <w:rPr>
          <w:szCs w:val="20"/>
        </w:rPr>
        <w:tab/>
        <w:t>Na zasadzie odstępstwa od art. 76 akapit pierwszy, zobowiązania budżetowe na zasoby REACT-EU w odniesieniu do każdego programu operacyjnego, którego to dotyczy, podejmowane są dla każdego funduszu na lata ▌2021 i 2022.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Zobowiązanie prawne, o którym mowa w art. 76 akapit drugi, w odniesieniu do lat 2021 i 2022 wchodzi w życie z dniem, o którym mowa w art. 3 ust. 3 rozporządzenia (UE) .../...</w:t>
      </w:r>
      <w:r w:rsidRPr="004A0001">
        <w:rPr>
          <w:szCs w:val="20"/>
          <w:vertAlign w:val="superscript"/>
        </w:rPr>
        <w:footnoteReference w:customMarkFollows="1" w:id="17"/>
        <w:t>+</w:t>
      </w:r>
      <w:r w:rsidRPr="004A0001">
        <w:rPr>
          <w:szCs w:val="20"/>
        </w:rPr>
        <w:t xml:space="preserve"> lub po tym dniu.  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Art. 76 akapit trzeci i akapit czwarty nie mają zastosowania do zasobów REACT-EU.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Na zasadzie odstępstwa od art. 14 ust. 3 rozporządzenia finansowego, zasady dotyczące anulowania zobowiązań, określone w części II tytuł IX rozdział IV oraz w art. 136 niniejszego rozporządzenia, mają zastosowanie do zobowiązań budżetowych opartych na zasobach REACT-EU. Na zasadzie odstępstwa od art. 12 ust. 4 lit. c) rozporządzenia finansowego, zasobów REACT-EU nie wykorzystuje się na kolejny program ani kolejne działanie.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lastRenderedPageBreak/>
        <w:t>Na zasadzie odstępstwa od art. 86 ust. 2 i art. 136 ust. 1 niniejszego rozporządzenia, zobowiązania dotyczące zasobów REACT-EU anuluje się zgodnie z przepisami mającymi zastosowanie do zamknięcia programów.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iCs/>
          <w:szCs w:val="20"/>
        </w:rPr>
      </w:pPr>
      <w:r w:rsidRPr="004A0001">
        <w:rPr>
          <w:szCs w:val="20"/>
        </w:rPr>
        <w:t>Każde państwo członkowskie alokuje zasoby REACT-EU dostępne dla potrzeb programowania w ramach EFRR i EFS na programy operacyjne</w:t>
      </w:r>
      <w:r w:rsidRPr="004A0001">
        <w:rPr>
          <w:b/>
          <w:i/>
          <w:szCs w:val="20"/>
        </w:rPr>
        <w:t xml:space="preserve"> lub programy współpracy transgranicznej, we współpracy z władzami lokalnymi i regionalnymi, a także z właściwymi podmiotami reprezentującymi społeczeństwo obywatelskie i partnerów społecznych, zgodnie z zasadą partnerstwa</w:t>
      </w:r>
      <w:r w:rsidRPr="004A0001">
        <w:rPr>
          <w:szCs w:val="20"/>
        </w:rPr>
        <w:t xml:space="preserve">. 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Na zasadzie odstępstwa od art. 92 ust. 7</w:t>
      </w:r>
      <w:r w:rsidRPr="004A0001">
        <w:rPr>
          <w:b/>
          <w:i/>
          <w:szCs w:val="20"/>
        </w:rPr>
        <w:t>, jeżeli dane państwo członkowskie uzna to za stosowne,</w:t>
      </w:r>
      <w:r w:rsidRPr="004A0001">
        <w:rPr>
          <w:szCs w:val="20"/>
        </w:rPr>
        <w:t xml:space="preserve"> zostanie także zaproponowane wykorzystanie </w:t>
      </w:r>
      <w:r w:rsidRPr="004A0001">
        <w:rPr>
          <w:b/>
          <w:i/>
          <w:szCs w:val="20"/>
        </w:rPr>
        <w:t>części</w:t>
      </w:r>
      <w:r w:rsidRPr="004A0001">
        <w:rPr>
          <w:szCs w:val="20"/>
        </w:rPr>
        <w:t xml:space="preserve"> zasobów REACT-EU na zwiększenie wsparcia dla Europejskiego Funduszu Pomocy Najbardziej Potrzebującym („FEAD”)</w:t>
      </w:r>
      <w:r w:rsidRPr="004A0001">
        <w:rPr>
          <w:b/>
          <w:i/>
          <w:szCs w:val="20"/>
        </w:rPr>
        <w:t xml:space="preserve">, aby poprawić sytuację osób dotkniętych w bezprecedensowym stopniu kryzysem związanym z COVID-19. Część zasobów </w:t>
      </w:r>
      <w:r w:rsidRPr="004A0001">
        <w:rPr>
          <w:szCs w:val="20"/>
        </w:rPr>
        <w:t>REACT-EU</w:t>
      </w:r>
      <w:r w:rsidRPr="004A0001">
        <w:rPr>
          <w:b/>
          <w:i/>
          <w:szCs w:val="20"/>
        </w:rPr>
        <w:t xml:space="preserve"> może być również wykorzystana na zwiększenie wsparcia dla Inicjatywy na rzecz zatrudnienia ludzi młodych. W obu przypadkach zwiększenie środków można zaproponować</w:t>
      </w:r>
      <w:r w:rsidRPr="004A0001">
        <w:rPr>
          <w:szCs w:val="20"/>
        </w:rPr>
        <w:t xml:space="preserve"> przed alokowaniem środków na EFRR i EFS lub w trakcie ich alokowania.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lastRenderedPageBreak/>
        <w:t>Po dokonaniu wstępnej alokacji zasoby REACT-EU mogą, na wniosek państwa członkowskiego o zmianę programu operacyjnego zgodnie z art. 30 ust. 1, zostać przesunięte między EFRR i EFS, bez względu na wartości procentowe, o których mowa w art. 92 ust. 1 lit. a), b) i c)</w:t>
      </w:r>
      <w:r w:rsidRPr="004A0001">
        <w:rPr>
          <w:b/>
          <w:i/>
          <w:szCs w:val="20"/>
        </w:rPr>
        <w:t>, przy utrzymaniu ogólnego potencjału operacyjnego EFS na poziomie Unii. Niniejszy akapit nie ma zastosowania do zasobów EFRR alokowanych na programy współpracy transgranicznej w ramach celu „Europejska współpraca terytorialna”.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Art. 30 ust. 5 nie ma zastosowania do zasobów REACT-EU. Zasoby te wyłącza się z podstawy obliczeń do celów pułapów określonych w tym ustępie.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Do celów stosowania art. 30 ust. 1 lit. f) rozporządzenia finansowego, warunek, by środki były przeznaczone na ten sam cel, nie ma zastosowania do takich przesunięć. Takie przesunięcia mogą dotyczyć jedynie bieżącego roku lub kolejnych lat w planie finansowym.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Wymogi określone w art. 92 ust. 4 niniejszego rozporządzenia nie mają zastosowania do wstępnej alokacji lub kolejnych przesunięć zasobów REACT-EU.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lastRenderedPageBreak/>
        <w:t>Zasoby REACT-EU wdraża się zgodnie z zasadami Funduszu, do którego zostały alokowane lub przesunięte.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t xml:space="preserve">6.  </w:t>
      </w:r>
      <w:r w:rsidRPr="004A0001">
        <w:rPr>
          <w:szCs w:val="20"/>
        </w:rPr>
        <w:tab/>
      </w:r>
      <w:r w:rsidRPr="004A0001">
        <w:rPr>
          <w:b/>
          <w:i/>
          <w:szCs w:val="20"/>
        </w:rPr>
        <w:t>Z inicjatywy państw członkowskich</w:t>
      </w:r>
      <w:r w:rsidRPr="004A0001">
        <w:rPr>
          <w:szCs w:val="20"/>
        </w:rPr>
        <w:t xml:space="preserve"> na pomoc techniczną w ramach dowolnego istniejącego programu operacyjnego wspieranego z EFRR lub EFS, nowego programu operacyjnego, </w:t>
      </w:r>
      <w:r w:rsidRPr="004A0001">
        <w:rPr>
          <w:b/>
          <w:i/>
          <w:szCs w:val="20"/>
        </w:rPr>
        <w:t>lub programów</w:t>
      </w:r>
      <w:r w:rsidRPr="004A0001">
        <w:rPr>
          <w:szCs w:val="20"/>
        </w:rPr>
        <w:t>, o których mowa w ust. </w:t>
      </w:r>
      <w:r w:rsidRPr="004A0001">
        <w:rPr>
          <w:b/>
          <w:i/>
          <w:szCs w:val="20"/>
        </w:rPr>
        <w:t>10</w:t>
      </w:r>
      <w:r w:rsidRPr="004A0001">
        <w:rPr>
          <w:szCs w:val="20"/>
        </w:rPr>
        <w:t>, można przeznaczyć maksymalnie 4 % łącznych zasobów REACT-EU w ramach EFRR i EFS.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b/>
          <w:i/>
          <w:szCs w:val="20"/>
        </w:rPr>
      </w:pPr>
      <w:r w:rsidRPr="004A0001">
        <w:rPr>
          <w:b/>
          <w:i/>
          <w:szCs w:val="20"/>
        </w:rPr>
        <w:t>Na pomoc techniczną można przeznaczyć maksymalnie 6 % zasobów dodatkowych z EFRR alokowanych na program współpracy transgranicznej w ramach celu „Europejska współpraca terytorialna” zgodnie z ust. 1 akapit drugi.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t xml:space="preserve">7. </w:t>
      </w:r>
      <w:r w:rsidRPr="004A0001">
        <w:rPr>
          <w:szCs w:val="20"/>
        </w:rPr>
        <w:tab/>
        <w:t xml:space="preserve">Na zasadzie odstępstwa od art. 81 ust. 1 i art. 134 ust. 1, początkowe płatności zaliczkowe, wypłacane w następstwie decyzji Komisji w sprawie przyjęcia programu operacyjnego lub zatwierdzenia zmian w programie operacyjnym na potrzeby alokacji zasobów REACT-EU, wynoszą </w:t>
      </w:r>
      <w:r w:rsidRPr="004A0001">
        <w:rPr>
          <w:b/>
          <w:i/>
          <w:szCs w:val="20"/>
        </w:rPr>
        <w:t>11</w:t>
      </w:r>
      <w:r w:rsidRPr="004A0001">
        <w:rPr>
          <w:szCs w:val="20"/>
        </w:rPr>
        <w:t> % zasobów REACT-EU alokowanych na programy na rok </w:t>
      </w:r>
      <w:r w:rsidRPr="004A0001">
        <w:rPr>
          <w:b/>
          <w:i/>
          <w:szCs w:val="20"/>
        </w:rPr>
        <w:t>2021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Do celów stosowania art. 134 ust. 2 w odniesieniu do rocznych płatności zaliczkowych w latach 2021, 2022 i 2023 kwota wsparcia z funduszy polityki spójności na cały okres programowania przewidziana dla programu operacyjnego obejmuje zasoby REACT-EU.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lastRenderedPageBreak/>
        <w:t>Kwota wypłacona w ramach dodatkowych początkowych płatności zaliczkowych, o których mowa w akapicie pierwszym, zostaje całkowicie rozliczona w sprawozdaniach finansowych Komisji nie później niż w dniu zamknięcia programu operacyjnego.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  <w:u w:val="single"/>
        </w:rPr>
      </w:pPr>
      <w:r w:rsidRPr="004A0001">
        <w:rPr>
          <w:szCs w:val="20"/>
        </w:rPr>
        <w:t>8.</w:t>
      </w:r>
      <w:r w:rsidRPr="004A0001">
        <w:rPr>
          <w:szCs w:val="20"/>
        </w:rPr>
        <w:tab/>
        <w:t>Zasoby REACT-EU nieprzydzielone na pomoc techniczną wykorzystuje się w ramach celu tematycznego, o którym mowa w ust. </w:t>
      </w:r>
      <w:r w:rsidRPr="004A0001">
        <w:rPr>
          <w:b/>
          <w:i/>
          <w:szCs w:val="20"/>
        </w:rPr>
        <w:t>9 akapit pierwszy,</w:t>
      </w:r>
      <w:r w:rsidRPr="004A0001">
        <w:rPr>
          <w:szCs w:val="20"/>
        </w:rPr>
        <w:t xml:space="preserve"> na potrzeby wzmocnienia operacji wspierających kryzysowe działania naprawcze w kontekście pandemii COVID-19 </w:t>
      </w:r>
      <w:r w:rsidRPr="004A0001">
        <w:rPr>
          <w:b/>
          <w:i/>
          <w:szCs w:val="20"/>
        </w:rPr>
        <w:t>i jej skutków społecznych oraz</w:t>
      </w:r>
      <w:r w:rsidRPr="004A0001">
        <w:rPr>
          <w:szCs w:val="20"/>
        </w:rPr>
        <w:t xml:space="preserve"> przygotowujących do ekologicznej i cyfrowej odbudowy gospodarki zwiększającej jej odporność.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iCs/>
          <w:szCs w:val="20"/>
        </w:rPr>
      </w:pPr>
      <w:r w:rsidRPr="004A0001">
        <w:rPr>
          <w:szCs w:val="20"/>
        </w:rPr>
        <w:t xml:space="preserve">Państwa członkowskie mogą alokować zasoby REACT-EU na jedną lub kilka odrębnych osi priorytetowych w ramach istniejącego programu lub programów operacyjnych </w:t>
      </w:r>
      <w:r w:rsidRPr="004A0001">
        <w:rPr>
          <w:b/>
          <w:i/>
          <w:szCs w:val="20"/>
        </w:rPr>
        <w:t>w kontekście celu „Inwestycje na rzecz wzrostu i zatrudnienia” lub w ramach istniejącego programu lub programów współpracy transgranicznej w kontekście celu „Europejska współpraca terytorialna”,</w:t>
      </w:r>
      <w:r w:rsidRPr="004A0001">
        <w:rPr>
          <w:szCs w:val="20"/>
        </w:rPr>
        <w:t xml:space="preserve"> albo na nowy program operacyjny </w:t>
      </w:r>
      <w:r w:rsidRPr="004A0001">
        <w:rPr>
          <w:b/>
          <w:i/>
          <w:szCs w:val="20"/>
        </w:rPr>
        <w:t>lub programy operacyjne</w:t>
      </w:r>
      <w:r w:rsidRPr="004A0001">
        <w:rPr>
          <w:szCs w:val="20"/>
        </w:rPr>
        <w:t xml:space="preserve">, o </w:t>
      </w:r>
      <w:r w:rsidRPr="004A0001">
        <w:rPr>
          <w:b/>
          <w:i/>
          <w:szCs w:val="20"/>
        </w:rPr>
        <w:t>których</w:t>
      </w:r>
      <w:r w:rsidRPr="004A0001">
        <w:rPr>
          <w:szCs w:val="20"/>
        </w:rPr>
        <w:t xml:space="preserve"> mowa w ust. </w:t>
      </w:r>
      <w:r w:rsidRPr="004A0001">
        <w:rPr>
          <w:b/>
          <w:i/>
          <w:szCs w:val="20"/>
        </w:rPr>
        <w:t>10 niniejszego artykułu, w kontekście celu „Inwestycje na rzecz wzrostu i zatrudnienia”.</w:t>
      </w:r>
      <w:r w:rsidRPr="004A0001">
        <w:rPr>
          <w:szCs w:val="20"/>
        </w:rPr>
        <w:t xml:space="preserve"> Na zasadzie odstępstwa od art. 26 ust. 1, program obejmuje okres do dnia 31 grudnia 2022 r., z zastrzeżeniem ust. 4 niniejszego artykułu.</w:t>
      </w:r>
    </w:p>
    <w:p w:rsidR="004A0001" w:rsidRPr="004A0001" w:rsidRDefault="004A0001" w:rsidP="004A0001">
      <w:pPr>
        <w:rPr>
          <w:color w:val="000000" w:themeColor="text1"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bCs/>
          <w:szCs w:val="20"/>
        </w:rPr>
      </w:pPr>
      <w:r w:rsidRPr="004A0001">
        <w:rPr>
          <w:szCs w:val="20"/>
        </w:rPr>
        <w:lastRenderedPageBreak/>
        <w:t xml:space="preserve">W przypadku EFRR zasoby REACT-EU wykorzystuje się przede wszystkim na wspieranie inwestycji w zakresie produktów i usług na potrzeby świadczeń zdrowotnych, lub w </w:t>
      </w:r>
      <w:r w:rsidRPr="004A0001">
        <w:rPr>
          <w:b/>
          <w:i/>
          <w:szCs w:val="20"/>
        </w:rPr>
        <w:t xml:space="preserve">infrastrukturę społeczną, </w:t>
      </w:r>
      <w:r w:rsidRPr="004A0001">
        <w:rPr>
          <w:szCs w:val="20"/>
        </w:rPr>
        <w:t xml:space="preserve">na zapewnianie wsparcia w postaci kapitału obrotowego lub wsparcia na inwestycje dla MŚP, </w:t>
      </w:r>
      <w:r w:rsidRPr="004A0001">
        <w:rPr>
          <w:b/>
          <w:i/>
          <w:szCs w:val="20"/>
        </w:rPr>
        <w:t>na inwestycje w sektorach o dużym potencjale tworzenia miejsc pracy,</w:t>
      </w:r>
      <w:r w:rsidRPr="004A0001">
        <w:rPr>
          <w:szCs w:val="20"/>
        </w:rPr>
        <w:t xml:space="preserve"> na wspieranie inwestycji przyczyniających  się do transformacji ku ekologicznej i cyfrowej gospodarce, na wspieranie inwestycji w infrastrukturę zapewniającą obywatelom podstawowe usługi oraz na wspieranie środków wsparcia gospodarczego w regionach, które są w największym stopniu uzależnione od sektorów najsilniej dotkniętych kryzysem związanym z COVID-19.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trike/>
          <w:szCs w:val="20"/>
        </w:rPr>
      </w:pPr>
      <w:r w:rsidRPr="004A0001">
        <w:rPr>
          <w:szCs w:val="20"/>
        </w:rPr>
        <w:t xml:space="preserve">W przypadku EFS zasoby REACT-EU wykorzystuje się przede wszystkim w celu </w:t>
      </w:r>
      <w:r w:rsidRPr="004A0001">
        <w:rPr>
          <w:b/>
          <w:i/>
          <w:szCs w:val="20"/>
        </w:rPr>
        <w:t>wsparcia dostępu do rynku pracy dzięki utrzymaniu</w:t>
      </w:r>
      <w:r w:rsidRPr="004A0001">
        <w:rPr>
          <w:szCs w:val="20"/>
        </w:rPr>
        <w:t xml:space="preserve"> miejsc pracy </w:t>
      </w:r>
      <w:r w:rsidRPr="004A0001">
        <w:rPr>
          <w:b/>
          <w:i/>
          <w:szCs w:val="20"/>
        </w:rPr>
        <w:t>pracowników i osób samozatrudnionych</w:t>
      </w:r>
      <w:r w:rsidRPr="004A0001">
        <w:rPr>
          <w:szCs w:val="20"/>
        </w:rPr>
        <w:t xml:space="preserve">, m.in. poprzez mechanizmy zmniejszonego wymiaru czasu pracy ▌, nawet jeżeli wsparcie to nie wiąże się z aktywnymi instrumentami rynku pracy, chyba że instrumenty te są wymagane przez prawo krajowe. Zasoby REACT-EU wspierają ▌tworzenie miejsc pracy </w:t>
      </w:r>
      <w:r w:rsidRPr="004A0001">
        <w:rPr>
          <w:b/>
          <w:i/>
          <w:szCs w:val="20"/>
        </w:rPr>
        <w:t>i wysokiej jakości zatrudnienie</w:t>
      </w:r>
      <w:r w:rsidRPr="004A0001">
        <w:rPr>
          <w:szCs w:val="20"/>
        </w:rPr>
        <w:t xml:space="preserve">, w szczególności w przypadku osób znajdujących się w trudnej sytuacji, </w:t>
      </w:r>
      <w:r w:rsidRPr="004A0001">
        <w:rPr>
          <w:b/>
          <w:i/>
          <w:szCs w:val="20"/>
        </w:rPr>
        <w:t xml:space="preserve">a także rozszerzają </w:t>
      </w:r>
      <w:r w:rsidRPr="004A0001">
        <w:rPr>
          <w:szCs w:val="20"/>
        </w:rPr>
        <w:t xml:space="preserve">środki na rzecz zatrudnienia młodzieży </w:t>
      </w:r>
      <w:r w:rsidRPr="004A0001">
        <w:rPr>
          <w:b/>
          <w:i/>
          <w:szCs w:val="20"/>
        </w:rPr>
        <w:t>zgodnie ze wzmocnioną gwarancją dla młodzieży. Inwestycje w</w:t>
      </w:r>
      <w:r w:rsidRPr="004A0001">
        <w:rPr>
          <w:szCs w:val="20"/>
        </w:rPr>
        <w:t xml:space="preserve"> kształcenie</w:t>
      </w:r>
      <w:r w:rsidRPr="004A0001">
        <w:rPr>
          <w:b/>
          <w:i/>
          <w:szCs w:val="20"/>
        </w:rPr>
        <w:t>,</w:t>
      </w:r>
      <w:r w:rsidRPr="004A0001">
        <w:rPr>
          <w:szCs w:val="20"/>
        </w:rPr>
        <w:t xml:space="preserve"> szkolenie </w:t>
      </w:r>
      <w:r w:rsidRPr="004A0001">
        <w:rPr>
          <w:b/>
          <w:i/>
          <w:szCs w:val="20"/>
        </w:rPr>
        <w:t>i</w:t>
      </w:r>
      <w:r w:rsidRPr="004A0001">
        <w:rPr>
          <w:szCs w:val="20"/>
        </w:rPr>
        <w:t xml:space="preserve"> rozwój umiejętności </w:t>
      </w:r>
      <w:r w:rsidRPr="004A0001">
        <w:rPr>
          <w:b/>
          <w:i/>
          <w:szCs w:val="20"/>
        </w:rPr>
        <w:t>są ukierunkowywane na wsparcie</w:t>
      </w:r>
      <w:r w:rsidRPr="004A0001">
        <w:rPr>
          <w:szCs w:val="20"/>
        </w:rPr>
        <w:t xml:space="preserve"> zarówno transformacji ekologicznej jak i cyfrowej</w:t>
      </w:r>
      <w:r w:rsidRPr="004A0001">
        <w:rPr>
          <w:b/>
          <w:i/>
          <w:szCs w:val="20"/>
        </w:rPr>
        <w:t>.</w:t>
      </w:r>
    </w:p>
    <w:p w:rsidR="004A0001" w:rsidRPr="004A0001" w:rsidRDefault="004A0001" w:rsidP="004A0001">
      <w:pPr>
        <w:rPr>
          <w:b/>
          <w:bCs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b/>
          <w:i/>
          <w:szCs w:val="20"/>
        </w:rPr>
      </w:pPr>
      <w:r w:rsidRPr="004A0001">
        <w:rPr>
          <w:b/>
          <w:i/>
          <w:szCs w:val="20"/>
        </w:rPr>
        <w:lastRenderedPageBreak/>
        <w:t>Zasoby REACT-EU wspierają również systemy społeczne przyczyniające się do włączenia społecznego, przeciwdziałania dyskryminacji i eliminacji ubóstwa, a zwłaszcza ubóstwa dzieci, a także sprzyjać równemu dostępowi</w:t>
      </w:r>
      <w:r w:rsidRPr="004A0001">
        <w:rPr>
          <w:szCs w:val="20"/>
        </w:rPr>
        <w:t xml:space="preserve"> do usług socjalnych świadczonych w interesie ogólnym, w tym dla dzieci</w:t>
      </w:r>
      <w:r w:rsidRPr="004A0001">
        <w:rPr>
          <w:b/>
          <w:i/>
          <w:szCs w:val="20"/>
        </w:rPr>
        <w:t>, osób starszych, osób z niepełnosprawnościami, mniejszości etnicznych i osób bezdomnych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t>9.</w:t>
      </w:r>
      <w:r w:rsidRPr="004A0001">
        <w:rPr>
          <w:szCs w:val="20"/>
        </w:rPr>
        <w:tab/>
        <w:t xml:space="preserve">Z wyjątkiem pomocy technicznej, o której mowa w ust. 6 </w:t>
      </w:r>
      <w:r w:rsidRPr="004A0001">
        <w:rPr>
          <w:b/>
          <w:i/>
          <w:szCs w:val="20"/>
        </w:rPr>
        <w:t>niniejszego artykułu</w:t>
      </w:r>
      <w:r w:rsidRPr="004A0001">
        <w:rPr>
          <w:szCs w:val="20"/>
        </w:rPr>
        <w:t xml:space="preserve">, oraz zasobów REACT-EU wykorzystywanych na Europejski Fundusz Pomocy Najbardziej Potrzebującym </w:t>
      </w:r>
      <w:r w:rsidRPr="004A0001">
        <w:rPr>
          <w:b/>
          <w:i/>
          <w:szCs w:val="20"/>
        </w:rPr>
        <w:t>lub</w:t>
      </w:r>
      <w:r w:rsidRPr="004A0001">
        <w:rPr>
          <w:b/>
          <w:szCs w:val="20"/>
        </w:rPr>
        <w:t xml:space="preserve"> </w:t>
      </w:r>
      <w:r w:rsidRPr="004A0001">
        <w:rPr>
          <w:b/>
          <w:i/>
          <w:szCs w:val="20"/>
        </w:rPr>
        <w:t>Inicjatywę na rzecz zatrudnienia ludzi młodych</w:t>
      </w:r>
      <w:r w:rsidRPr="004A0001">
        <w:rPr>
          <w:szCs w:val="20"/>
        </w:rPr>
        <w:t>, o </w:t>
      </w:r>
      <w:r w:rsidRPr="004A0001">
        <w:rPr>
          <w:b/>
          <w:i/>
          <w:szCs w:val="20"/>
        </w:rPr>
        <w:t>których</w:t>
      </w:r>
      <w:r w:rsidRPr="004A0001">
        <w:rPr>
          <w:szCs w:val="20"/>
        </w:rPr>
        <w:t xml:space="preserve"> mowa w ust. 5 akapit siódmy niniejszego artykułu, zasoby REACT-EU wspierają operacje w ramach nowego celu tematycznego „Wspieranie kryzysowych działań naprawczych w kontekście pandemii COVID-19 i </w:t>
      </w:r>
      <w:r w:rsidRPr="004A0001">
        <w:rPr>
          <w:b/>
          <w:i/>
          <w:szCs w:val="20"/>
        </w:rPr>
        <w:t>jej skutków społecznych oraz</w:t>
      </w:r>
      <w:r w:rsidRPr="004A0001">
        <w:rPr>
          <w:szCs w:val="20"/>
        </w:rPr>
        <w:t xml:space="preserve"> przygotowanie do ekologicznej i cyfrowej odbudowy gospodarki zwiększającej jej odporność”, uzupełniającego cele tematyczne określone w art. 9.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 xml:space="preserve">Cel tematyczny, o którym mowa w akapicie pierwszym, jest dostępny wyłącznie w przypadku programowania zasobów REACT-EU. Na zasadzie odstępstwa od art. 96 ust. 1 lit. b), c) i d) </w:t>
      </w:r>
      <w:r w:rsidRPr="004A0001">
        <w:rPr>
          <w:b/>
          <w:i/>
          <w:szCs w:val="20"/>
        </w:rPr>
        <w:t xml:space="preserve">niniejszego rozporządzenia oraz od art. 8 ust. 1 rozporządzenia (UE) nr 1299/2013, </w:t>
      </w:r>
      <w:r w:rsidRPr="004A0001">
        <w:rPr>
          <w:szCs w:val="20"/>
        </w:rPr>
        <w:t>celu tego nie można łączyć z innymi priorytetami inwestycyjnymi.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lastRenderedPageBreak/>
        <w:t>Cel tematyczny, o którym mowa w akapicie pierwszym niniejszego ustępu, stanowi również jedyny priorytet inwestycyjny dla programowania i wdrażania zasobów REACT-EU z EFRR i EFS.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 xml:space="preserve">W przypadku ustanowienia w ramach istniejącego programu operacyjnego jednej lub kilku odrębnych osi priorytetowych odpowiadających celowi tematycznemu, o którym mowa w akapicie pierwszym niniejszego ustępu, do opisu osi priorytetowej w zmienionym programie operacyjnym nie wymaga się elementów wymienionych w art. 96 ust. 2 lit. b) ppkt (v) oraz (vii) </w:t>
      </w:r>
      <w:r w:rsidRPr="004A0001">
        <w:rPr>
          <w:b/>
          <w:i/>
          <w:szCs w:val="20"/>
        </w:rPr>
        <w:t>niniejszego rozporządzenia i w art. 8 ust. 2 lit. b) ppkt (v) oraz (vi) rozporządzenia (UE) nr 1299/2013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 xml:space="preserve">W zmienionym planie finansowym przewidzianym w art. 96 ust. 2 lit. d) </w:t>
      </w:r>
      <w:r w:rsidRPr="004A0001">
        <w:rPr>
          <w:b/>
          <w:i/>
          <w:szCs w:val="20"/>
        </w:rPr>
        <w:t xml:space="preserve">niniejszego rozporządzenia oraz w art. 8 ust. 2 lit. d) rozporządzenia (UE) nr 1299/2013 </w:t>
      </w:r>
      <w:r w:rsidRPr="004A0001">
        <w:rPr>
          <w:szCs w:val="20"/>
        </w:rPr>
        <w:t xml:space="preserve">określa się alokację zasobów REACT-EU na </w:t>
      </w:r>
      <w:r w:rsidRPr="004A0001">
        <w:rPr>
          <w:b/>
          <w:i/>
          <w:szCs w:val="20"/>
        </w:rPr>
        <w:t>rok</w:t>
      </w:r>
      <w:r w:rsidRPr="004A0001">
        <w:rPr>
          <w:szCs w:val="20"/>
        </w:rPr>
        <w:t xml:space="preserve"> 2021 oraz, w stosownych przypadkach, na rok 2022, bez wskazywania kwot na rezerwę wykonania i bez podziału na poszczególne kategorie regionów.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 xml:space="preserve">Na zasadzie odstępstwa od art. 30 ust. 1 </w:t>
      </w:r>
      <w:r w:rsidRPr="004A0001">
        <w:rPr>
          <w:b/>
          <w:i/>
          <w:szCs w:val="20"/>
        </w:rPr>
        <w:t>niniejszego rozporządzenia,</w:t>
      </w:r>
      <w:r w:rsidRPr="004A0001">
        <w:rPr>
          <w:b/>
          <w:szCs w:val="20"/>
        </w:rPr>
        <w:t xml:space="preserve"> </w:t>
      </w:r>
      <w:r w:rsidRPr="004A0001">
        <w:rPr>
          <w:szCs w:val="20"/>
        </w:rPr>
        <w:t>wnioski o zmianę programów przedstawiane przez państwa członkowskie są odpowiednio uzasadniane, a w szczególności wskazują oczekiwany wpływ zmian w programie na wspieranie kryzysowych działań naprawczych w kontekście pandemii COVID-19 i </w:t>
      </w:r>
      <w:r w:rsidRPr="004A0001">
        <w:rPr>
          <w:b/>
          <w:i/>
          <w:szCs w:val="20"/>
        </w:rPr>
        <w:t xml:space="preserve">jej skutków społecznych oraz </w:t>
      </w:r>
      <w:r w:rsidRPr="004A0001">
        <w:rPr>
          <w:szCs w:val="20"/>
        </w:rPr>
        <w:t xml:space="preserve">przygotowanie do ekologicznej i cyfrowej odbudowy gospodarki zwiększającej jej odporność. Do wniosków dołącza się zmieniony program. 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lastRenderedPageBreak/>
        <w:t>10.</w:t>
      </w:r>
      <w:r w:rsidRPr="004A0001">
        <w:rPr>
          <w:szCs w:val="20"/>
        </w:rPr>
        <w:tab/>
        <w:t xml:space="preserve">Na zasadzie odstępstwa od art. 26 ust. 4 państwa członkowskie mogą sporządzić </w:t>
      </w:r>
      <w:r w:rsidRPr="004A0001">
        <w:rPr>
          <w:b/>
          <w:i/>
          <w:szCs w:val="20"/>
        </w:rPr>
        <w:t>nowe odrębne programy operacyjne</w:t>
      </w:r>
      <w:r w:rsidRPr="004A0001">
        <w:rPr>
          <w:szCs w:val="20"/>
        </w:rPr>
        <w:t xml:space="preserve"> </w:t>
      </w:r>
      <w:r w:rsidRPr="004A0001">
        <w:rPr>
          <w:b/>
          <w:i/>
          <w:szCs w:val="20"/>
        </w:rPr>
        <w:t>w kontekście celu „Inwestycje na rzecz wzrostu i zatrudnienia”</w:t>
      </w:r>
      <w:r w:rsidRPr="004A0001">
        <w:rPr>
          <w:szCs w:val="20"/>
        </w:rPr>
        <w:t xml:space="preserve"> w ramach nowego celu tematycznego, o którym mowa w ust. </w:t>
      </w:r>
      <w:r w:rsidRPr="004A0001">
        <w:rPr>
          <w:b/>
          <w:i/>
          <w:szCs w:val="20"/>
        </w:rPr>
        <w:t>9</w:t>
      </w:r>
      <w:r w:rsidRPr="004A0001">
        <w:rPr>
          <w:b/>
          <w:szCs w:val="20"/>
        </w:rPr>
        <w:t xml:space="preserve"> </w:t>
      </w:r>
      <w:r w:rsidRPr="004A0001">
        <w:rPr>
          <w:b/>
          <w:i/>
          <w:szCs w:val="20"/>
        </w:rPr>
        <w:t>akapit pierwszy</w:t>
      </w:r>
      <w:r w:rsidRPr="004A0001">
        <w:rPr>
          <w:b/>
          <w:szCs w:val="20"/>
        </w:rPr>
        <w:t xml:space="preserve"> </w:t>
      </w:r>
      <w:r w:rsidRPr="004A0001">
        <w:rPr>
          <w:b/>
          <w:i/>
          <w:szCs w:val="20"/>
        </w:rPr>
        <w:t>niniejszego artykułu</w:t>
      </w:r>
      <w:r w:rsidRPr="004A0001">
        <w:rPr>
          <w:szCs w:val="20"/>
        </w:rPr>
        <w:t xml:space="preserve">. Nie wymaga się ewaluacji </w:t>
      </w:r>
      <w:r w:rsidRPr="004A0001">
        <w:rPr>
          <w:i/>
          <w:szCs w:val="20"/>
        </w:rPr>
        <w:t>ex ante</w:t>
      </w:r>
      <w:r w:rsidRPr="004A0001">
        <w:rPr>
          <w:szCs w:val="20"/>
        </w:rPr>
        <w:t>, o której mowa w art. 55.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Na zasadzie odstępstwa od art. 96 ust. 2 lit. a), w przypadku gdy ustanawia się taki nowy program operacyjny, uzasadnienie powinno określać oczekiwany wpływ programu operacyjnego na wspieranie kryzysowych działań naprawczych w kontekście pandemii COVID-19 i </w:t>
      </w:r>
      <w:r w:rsidRPr="004A0001">
        <w:rPr>
          <w:b/>
          <w:i/>
          <w:szCs w:val="20"/>
        </w:rPr>
        <w:t>jej skutków społecznych oraz</w:t>
      </w:r>
      <w:r w:rsidRPr="004A0001">
        <w:rPr>
          <w:szCs w:val="20"/>
        </w:rPr>
        <w:t xml:space="preserve"> przygotowanie do ekologicznej i cyfrowej odbudowy gospodarki zwiększającej jej odporność. 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W przypadku utworzenia takiego nowego programu operacyjnego jedynie instytucje już wyznaczone w ramach istniejących programów operacyjnych wspieranych z EFRR, EFS lub Funduszu Spójności mogą zostać wskazane przez państwa członkowskie do celów art. 96 ust. 5 lit. a).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W odniesieniu do takich nowych programów operacyjnych nie wymaga się elementów określonych w art. 96 ust. 2 akapit pierwszy lit. b) ppkt (v) i (vii), ust. 4, ust. 6 lit. b) i c) oraz ust. 7. Elementów określonych w art. 96 ust. 3 wymaga się jedynie w przypadku, gdy udzielane jest odnośne wsparcie.</w:t>
      </w:r>
    </w:p>
    <w:p w:rsidR="004A0001" w:rsidRPr="004A0001" w:rsidRDefault="004A0001" w:rsidP="004A0001">
      <w:pPr>
        <w:rPr>
          <w:b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b/>
          <w:i/>
          <w:szCs w:val="20"/>
        </w:rPr>
      </w:pPr>
      <w:r w:rsidRPr="004A0001">
        <w:rPr>
          <w:b/>
          <w:i/>
          <w:szCs w:val="20"/>
        </w:rPr>
        <w:lastRenderedPageBreak/>
        <w:t>Na zasadzie odstępstwa od art. 29 ust. 3 i 4 oraz art. 30 ust. 2 Komisja dokłada wszelkich starań, aby zatwierdzić każdy nowy odrębny program operacyjny i wszelkie zmiany do istniejącego już programu w ciągu 15 dni roboczych od dnia ich przedłożenia przez państwo członkowskie.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b/>
          <w:i/>
          <w:szCs w:val="20"/>
        </w:rPr>
      </w:pPr>
      <w:r w:rsidRPr="004A0001">
        <w:rPr>
          <w:b/>
          <w:i/>
          <w:szCs w:val="20"/>
        </w:rPr>
        <w:t>11.</w:t>
      </w:r>
      <w:r w:rsidRPr="004A0001">
        <w:rPr>
          <w:b/>
          <w:i/>
          <w:szCs w:val="20"/>
        </w:rPr>
        <w:tab/>
        <w:t xml:space="preserve">Na zasadzie odstępstwa od art. 65 ust. 2 i 9, wydatki na operacje wspierane w ramach celu tematycznego, o którym mowa w ust. 9 akapit pierwszy niniejszego artykułu, kwalifikują się od dnia 1 lutego 2020 r.  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b/>
          <w:i/>
          <w:szCs w:val="20"/>
        </w:rPr>
      </w:pPr>
      <w:r w:rsidRPr="004A0001">
        <w:rPr>
          <w:szCs w:val="20"/>
        </w:rPr>
        <w:t>12.</w:t>
      </w:r>
      <w:r w:rsidRPr="004A0001">
        <w:rPr>
          <w:szCs w:val="20"/>
        </w:rPr>
        <w:tab/>
        <w:t>Na zasadzie odstępstwa od art. 120 ust. 3 akapit pierwszy i drugi, do osi priorytetowej lub osi priorytetowych wspieranych z zasobów REACT-EU zaprogramowanych w ramach celu tematycznego, o którym mowa w ust. </w:t>
      </w:r>
      <w:r w:rsidRPr="004A0001">
        <w:rPr>
          <w:b/>
          <w:i/>
          <w:szCs w:val="20"/>
        </w:rPr>
        <w:t>9</w:t>
      </w:r>
      <w:r w:rsidRPr="004A0001">
        <w:rPr>
          <w:szCs w:val="20"/>
        </w:rPr>
        <w:t xml:space="preserve"> akapit pierwszy niniejszego artykułu, można stosować stopę dofinansowania sięgającą do 100 %. </w:t>
      </w:r>
      <w:r w:rsidRPr="004A0001">
        <w:rPr>
          <w:b/>
          <w:i/>
          <w:szCs w:val="20"/>
        </w:rPr>
        <w:t>Oprócz wspólnych wskaźników określonych w przepisach dotyczących poszczególnych funduszy państwa członkowskie stosują również, w odpowiednich przypadkach, udostępniane przez Komisję wskaźniki specyficzne dla dotyczące programów związanych z COVID-19.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Na zasadzie odstępstwa od art. 56 ust. 3 i art. 114 ust. 2, państwa członkowskie zapewniają, aby do dnia 31 grudnia 2024 r. przeprowadzono co najmniej jedną ewaluację wykorzystania zasobów REACT-EU w celu oceny ich skuteczności, efektywności, wpływu oraz</w:t>
      </w:r>
      <w:r w:rsidRPr="004A0001">
        <w:rPr>
          <w:b/>
          <w:i/>
          <w:szCs w:val="20"/>
        </w:rPr>
        <w:t>, w stosownych przypadkach, włączenia i niedyskryminacji, w tym ze względu na płeć, a także</w:t>
      </w:r>
      <w:r w:rsidRPr="004A0001">
        <w:rPr>
          <w:szCs w:val="20"/>
        </w:rPr>
        <w:t xml:space="preserve"> sposobu, w jaki przyczyniają się one do osiągnięcia celu tematycznego, o którym mowa w ust. </w:t>
      </w:r>
      <w:r w:rsidRPr="004A0001">
        <w:rPr>
          <w:b/>
          <w:i/>
          <w:szCs w:val="20"/>
        </w:rPr>
        <w:t>9</w:t>
      </w:r>
      <w:r w:rsidRPr="004A0001">
        <w:rPr>
          <w:szCs w:val="20"/>
        </w:rPr>
        <w:t xml:space="preserve"> akapit pierwszy niniejszego artykułu.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lastRenderedPageBreak/>
        <w:t>13.</w:t>
      </w:r>
      <w:r w:rsidRPr="004A0001">
        <w:rPr>
          <w:szCs w:val="20"/>
        </w:rPr>
        <w:tab/>
        <w:t>Następujące przepisy nie mają zastosowania do zasobów REACT-EU: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a)</w:t>
      </w:r>
      <w:r w:rsidRPr="004A0001">
        <w:rPr>
          <w:szCs w:val="20"/>
        </w:rPr>
        <w:tab/>
        <w:t>wymogi dotyczące koncentracji tematycznej, w tym pułapy dla zrównoważonego rozwoju obszarów miejskich ustanowione w niniejszym rozporządzeniu lub w przepisach dotyczących poszczególnych funduszy, na zasadzie odstępstwa od art. 18;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b)</w:t>
      </w:r>
      <w:r w:rsidRPr="004A0001">
        <w:rPr>
          <w:szCs w:val="20"/>
        </w:rPr>
        <w:tab/>
        <w:t>warunki wstępne, na zasadzie odstępstwa od art. 19 i przepisów dotyczących poszczególnych funduszy;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c)</w:t>
      </w:r>
      <w:r w:rsidRPr="004A0001">
        <w:rPr>
          <w:szCs w:val="20"/>
        </w:rPr>
        <w:tab/>
        <w:t>wymogi dotyczące rezerwy wykonania i stosowania ram wykonania, na zasadzie odstępstwa od, odpowiednio, art. 20 i art. 22;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▌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b/>
          <w:i/>
          <w:szCs w:val="20"/>
        </w:rPr>
        <w:t>d)</w:t>
      </w:r>
      <w:r w:rsidRPr="004A0001">
        <w:rPr>
          <w:szCs w:val="20"/>
        </w:rPr>
        <w:tab/>
      </w:r>
      <w:r w:rsidRPr="004A0001">
        <w:rPr>
          <w:b/>
          <w:i/>
          <w:szCs w:val="20"/>
        </w:rPr>
        <w:t>art. 65 ust. 6 w przypadku operacji rozpoczętych od 1 lutego 2020 r. i wspierających kryzysowe działania naprawcze w kontekście pandemii COVID-19 i jej skutków społecznych oraz przygotowujących do ekologicznej i cyfrowej odbudowy gospodarki zwiększającej jej odporność, wspierane w ramach celu tematycznego, o którym mowa w ust. 9 akapit pierwszy niniejszego artykułu;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e)</w:t>
      </w:r>
      <w:r w:rsidRPr="004A0001">
        <w:rPr>
          <w:szCs w:val="20"/>
        </w:rPr>
        <w:tab/>
        <w:t>wymóg przygotowania strategii komunikacji, na zasadzie odstępstwa od art. 116 oraz art. 115 ust. 1 lit. a).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b/>
          <w:i/>
          <w:iCs/>
          <w:szCs w:val="20"/>
        </w:rPr>
      </w:pPr>
      <w:r w:rsidRPr="004A0001">
        <w:rPr>
          <w:b/>
          <w:i/>
          <w:iCs/>
          <w:szCs w:val="20"/>
        </w:rPr>
        <w:t xml:space="preserve">Na zasadzie odstępstwa od wymogów określonych w art. 12 ust. 4 rozporządzenia (UE) nr 1299/2013 w przypadku operacji wspieranych z zasobów REACT-EU w ramach celu „Europejska współpraca terytorialna” wystarczy współpraca beneficjentów w co najmniej dwóch dziedzinach. </w:t>
      </w:r>
    </w:p>
    <w:p w:rsidR="004A0001" w:rsidRPr="004A0001" w:rsidRDefault="004A0001" w:rsidP="004A0001">
      <w:pPr>
        <w:rPr>
          <w:szCs w:val="22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lastRenderedPageBreak/>
        <w:t>14.</w:t>
      </w:r>
      <w:r w:rsidRPr="004A0001">
        <w:t xml:space="preserve"> </w:t>
      </w:r>
      <w:r w:rsidRPr="004A0001">
        <w:rPr>
          <w:szCs w:val="20"/>
        </w:rPr>
        <w:tab/>
        <w:t>Wypełniając swoje obowiązki związane z informowaniem, komunikacją i widocznością zgodnie z art. 115 ust. 1 i ust. 3 oraz załącznikiem XII, państwa członkowskie i instytucje zarządzające zapewniają, aby potencjalni beneficjenci, beneficjenci, uczestnicy, ostateczni odbiorcy instrumentów finansowych oraz ogół społeczeństwa wiedzieli o istnieniu zasobów REACT-EU, znali ich skalę oraz mieli świadomość, że dzięki nim możliwe jest uzyskanie dodatkowego wsparcia.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b/>
          <w:i/>
          <w:iCs/>
          <w:szCs w:val="20"/>
        </w:rPr>
      </w:pPr>
      <w:r w:rsidRPr="004A0001">
        <w:rPr>
          <w:b/>
          <w:i/>
          <w:iCs/>
          <w:szCs w:val="20"/>
        </w:rPr>
        <w:t>Państwa członkowskie i instytucje zarządzające jasno informują obywateli, że dana operacja jest finansowana w ramach reakcji Unii na pandemię COVID-19, oraz zapewniają pełną przejrzystość, w stosownych przypadkach z wykorzystaniem mediów społecznościowych.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 xml:space="preserve">W przypadku gdy wsparcia finansowego operacji udziela się z zasobów REACT-EU odniesienie do „funduszu”, „funduszy polityki spójności” lub „EFSI” w sekcji 2.2 załącznika XII zostaje ▌uzupełnione </w:t>
      </w:r>
      <w:r w:rsidRPr="004A0001">
        <w:rPr>
          <w:b/>
          <w:i/>
          <w:szCs w:val="20"/>
        </w:rPr>
        <w:t>zwrotem „sfinansowano w ramach reakcji Unii na pandemię COVID-19”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________________</w:t>
      </w:r>
    </w:p>
    <w:p w:rsidR="004A0001" w:rsidRPr="004A0001" w:rsidRDefault="004A0001" w:rsidP="004A0001">
      <w:pPr>
        <w:spacing w:before="120" w:after="120" w:line="360" w:lineRule="auto"/>
        <w:ind w:left="2153" w:hanging="735"/>
        <w:rPr>
          <w:szCs w:val="20"/>
        </w:rPr>
      </w:pPr>
      <w:r w:rsidRPr="004A0001">
        <w:rPr>
          <w:szCs w:val="20"/>
          <w:vertAlign w:val="superscript"/>
        </w:rPr>
        <w:t>*</w:t>
      </w:r>
      <w:r w:rsidRPr="004A0001">
        <w:rPr>
          <w:szCs w:val="20"/>
        </w:rPr>
        <w:tab/>
        <w:t>Rozporządzenie Rady ... (UE) .../... ustanawiające Instrument Unii Europejskiej na rzecz Odbudowy w celu wsparcia odbudowy w następstwie kryzysu związanego z kryzysem COVID-19 (Dz.U. ... s. ...)</w:t>
      </w:r>
      <w:r w:rsidRPr="004A0001">
        <w:rPr>
          <w:szCs w:val="20"/>
          <w:vertAlign w:val="superscript"/>
        </w:rPr>
        <w:footnoteReference w:customMarkFollows="1" w:id="18"/>
        <w:t>+</w:t>
      </w:r>
      <w:r w:rsidRPr="004A0001">
        <w:rPr>
          <w:szCs w:val="20"/>
        </w:rPr>
        <w:t>”;</w:t>
      </w: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b/>
          <w:bCs/>
          <w:i/>
          <w:szCs w:val="20"/>
        </w:rPr>
        <w:t>2)</w:t>
      </w:r>
      <w:r w:rsidRPr="004A0001">
        <w:rPr>
          <w:szCs w:val="20"/>
        </w:rPr>
        <w:tab/>
        <w:t>w art. 154 dodaje się akapit w brzmieniu: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bCs/>
          <w:szCs w:val="20"/>
        </w:rPr>
      </w:pPr>
      <w:r w:rsidRPr="004A0001">
        <w:rPr>
          <w:szCs w:val="20"/>
        </w:rPr>
        <w:t>„Art. ▌92a i </w:t>
      </w:r>
      <w:r w:rsidRPr="004A0001" w:rsidDel="007F014B">
        <w:rPr>
          <w:szCs w:val="20"/>
        </w:rPr>
        <w:t xml:space="preserve"> </w:t>
      </w:r>
      <w:r w:rsidRPr="004A0001">
        <w:rPr>
          <w:szCs w:val="20"/>
        </w:rPr>
        <w:t>92b nie mają zastosowania do Zjednoczonego Królestwa ani na jego terytorium. Zawarte w tych przepisach odniesienia do państw członkowskich rozumie się jako nieobejmujące Zjednoczonego Królestwa.”;</w:t>
      </w:r>
    </w:p>
    <w:p w:rsidR="004A0001" w:rsidRPr="004A0001" w:rsidRDefault="004A0001" w:rsidP="004A0001">
      <w:pPr>
        <w:rPr>
          <w:b/>
          <w:i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851" w:hanging="851"/>
        <w:rPr>
          <w:szCs w:val="20"/>
        </w:rPr>
      </w:pPr>
      <w:r w:rsidRPr="004A0001">
        <w:rPr>
          <w:b/>
          <w:i/>
          <w:szCs w:val="20"/>
        </w:rPr>
        <w:lastRenderedPageBreak/>
        <w:t>3)</w:t>
      </w:r>
      <w:r w:rsidRPr="004A0001">
        <w:rPr>
          <w:szCs w:val="20"/>
        </w:rPr>
        <w:tab/>
        <w:t xml:space="preserve">tekst określony w załączniku do niniejszego rozporządzenia dodaje się jako załącznik VIIa. </w:t>
      </w:r>
    </w:p>
    <w:p w:rsidR="004A0001" w:rsidRPr="004A0001" w:rsidRDefault="004A0001" w:rsidP="004A0001">
      <w:pPr>
        <w:spacing w:before="120" w:after="120" w:line="360" w:lineRule="auto"/>
        <w:jc w:val="center"/>
        <w:rPr>
          <w:b/>
          <w:i/>
          <w:szCs w:val="20"/>
        </w:rPr>
      </w:pPr>
      <w:r w:rsidRPr="004A0001">
        <w:rPr>
          <w:b/>
          <w:i/>
          <w:szCs w:val="20"/>
        </w:rPr>
        <w:t>Artykuł 2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b/>
          <w:i/>
          <w:szCs w:val="20"/>
        </w:rPr>
        <w:t xml:space="preserve">Komisja przedstawi Parlamentowi Europejskiemu i Radzie ocenę REACT-EU do dnia 31 marca 2025 r. Ocena ta musi zawierać informacje na temat osiągnięcia celów REACT-EU, efektywności wykorzystania zasobów </w:t>
      </w:r>
      <w:r w:rsidRPr="004A0001">
        <w:rPr>
          <w:szCs w:val="20"/>
        </w:rPr>
        <w:t>REACT-EU</w:t>
      </w:r>
      <w:r w:rsidRPr="004A0001">
        <w:rPr>
          <w:b/>
          <w:i/>
          <w:szCs w:val="20"/>
        </w:rPr>
        <w:t>, rodzajów finansowanych działań, beneficjentów i ostatecznych odbiorców środków finansowych oraz europejskiej wartości dodanej REACT-EU we wspieraniu ożywienia gospodarczego.</w:t>
      </w:r>
    </w:p>
    <w:p w:rsidR="004A0001" w:rsidRPr="004A0001" w:rsidRDefault="004A0001" w:rsidP="004A0001">
      <w:pPr>
        <w:spacing w:before="120" w:after="120" w:line="360" w:lineRule="auto"/>
        <w:jc w:val="center"/>
        <w:rPr>
          <w:szCs w:val="20"/>
        </w:rPr>
      </w:pPr>
      <w:r w:rsidRPr="004A0001">
        <w:rPr>
          <w:szCs w:val="20"/>
        </w:rPr>
        <w:t>Artykuł 3</w:t>
      </w:r>
    </w:p>
    <w:p w:rsidR="004A0001" w:rsidRPr="004A0001" w:rsidRDefault="004A0001" w:rsidP="004A0001">
      <w:pPr>
        <w:spacing w:before="120" w:after="120" w:line="360" w:lineRule="auto"/>
        <w:rPr>
          <w:i/>
          <w:iCs/>
          <w:szCs w:val="20"/>
        </w:rPr>
      </w:pPr>
      <w:r w:rsidRPr="004A0001">
        <w:rPr>
          <w:szCs w:val="20"/>
        </w:rPr>
        <w:t xml:space="preserve">Niniejsze rozporządzenie wchodzi w życie następnego dnia po jego opublikowaniu w </w:t>
      </w:r>
      <w:r w:rsidRPr="004A0001">
        <w:rPr>
          <w:i/>
          <w:iCs/>
          <w:szCs w:val="20"/>
        </w:rPr>
        <w:t>Dzienniku Urzędowym Unii Europejskiej.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  <w:r w:rsidRPr="004A0001">
        <w:rPr>
          <w:szCs w:val="20"/>
        </w:rPr>
        <w:t>Niniejsze rozporządzenie wiąże w całości i jest bezpośrednio stosowane we wszystkich państwach członkowskich.</w:t>
      </w:r>
    </w:p>
    <w:p w:rsidR="004A0001" w:rsidRPr="004A0001" w:rsidRDefault="004A0001" w:rsidP="004A0001">
      <w:pPr>
        <w:spacing w:before="120" w:after="120" w:line="360" w:lineRule="auto"/>
        <w:rPr>
          <w:szCs w:val="20"/>
        </w:rPr>
      </w:pPr>
    </w:p>
    <w:p w:rsidR="004A0001" w:rsidRPr="004A0001" w:rsidRDefault="004A0001" w:rsidP="004A0001">
      <w:pPr>
        <w:spacing w:before="120" w:line="360" w:lineRule="auto"/>
        <w:rPr>
          <w:szCs w:val="20"/>
        </w:rPr>
      </w:pPr>
      <w:r w:rsidRPr="004A0001">
        <w:rPr>
          <w:szCs w:val="20"/>
        </w:rPr>
        <w:t>Sporządzono w Brukseli dnia […] r.</w:t>
      </w:r>
    </w:p>
    <w:p w:rsidR="004A0001" w:rsidRPr="004A0001" w:rsidRDefault="004A0001" w:rsidP="004A0001">
      <w:pPr>
        <w:tabs>
          <w:tab w:val="left" w:pos="5670"/>
        </w:tabs>
        <w:spacing w:before="720" w:line="360" w:lineRule="auto"/>
        <w:rPr>
          <w:i/>
          <w:szCs w:val="20"/>
        </w:rPr>
      </w:pPr>
      <w:r w:rsidRPr="004A0001">
        <w:rPr>
          <w:i/>
          <w:szCs w:val="20"/>
        </w:rPr>
        <w:t>W imieniu Parlamentu Europejskiego</w:t>
      </w:r>
      <w:r w:rsidRPr="004A0001">
        <w:rPr>
          <w:i/>
          <w:szCs w:val="20"/>
        </w:rPr>
        <w:tab/>
        <w:t>W imieniu Rady</w:t>
      </w:r>
    </w:p>
    <w:p w:rsidR="004A0001" w:rsidRPr="004A0001" w:rsidRDefault="004A0001" w:rsidP="004A0001">
      <w:pPr>
        <w:tabs>
          <w:tab w:val="left" w:pos="5670"/>
        </w:tabs>
        <w:spacing w:line="360" w:lineRule="auto"/>
        <w:rPr>
          <w:szCs w:val="20"/>
        </w:rPr>
      </w:pPr>
      <w:r w:rsidRPr="004A0001">
        <w:rPr>
          <w:i/>
          <w:szCs w:val="20"/>
        </w:rPr>
        <w:t>Przewodniczący</w:t>
      </w:r>
      <w:r w:rsidRPr="004A0001">
        <w:rPr>
          <w:i/>
          <w:szCs w:val="20"/>
        </w:rPr>
        <w:tab/>
        <w:t>Przewodniczący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jc w:val="center"/>
        <w:rPr>
          <w:szCs w:val="20"/>
        </w:rPr>
      </w:pPr>
      <w:r w:rsidRPr="004A0001">
        <w:rPr>
          <w:szCs w:val="20"/>
        </w:rPr>
        <w:lastRenderedPageBreak/>
        <w:t>ZAŁĄCZNIK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iCs/>
          <w:szCs w:val="20"/>
        </w:rPr>
      </w:pPr>
      <w:r w:rsidRPr="004A0001">
        <w:rPr>
          <w:szCs w:val="20"/>
        </w:rPr>
        <w:t>„ZAŁĄCZNIK VIIa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iCs/>
          <w:szCs w:val="20"/>
        </w:rPr>
      </w:pPr>
      <w:r w:rsidRPr="004A0001">
        <w:rPr>
          <w:szCs w:val="20"/>
        </w:rPr>
        <w:t>Metoda alokacji zasobów REACT-EU – Art. 92b ust. 4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szCs w:val="20"/>
        </w:rPr>
      </w:pPr>
      <w:r w:rsidRPr="004A0001">
        <w:rPr>
          <w:szCs w:val="20"/>
        </w:rPr>
        <w:t>Metoda alokacji zasobów REACT-EU</w:t>
      </w:r>
    </w:p>
    <w:p w:rsidR="004A0001" w:rsidRPr="004A0001" w:rsidRDefault="004A0001" w:rsidP="004A0001">
      <w:pPr>
        <w:spacing w:before="120" w:after="120" w:line="360" w:lineRule="auto"/>
        <w:ind w:left="851"/>
        <w:rPr>
          <w:szCs w:val="20"/>
        </w:rPr>
      </w:pPr>
      <w:r w:rsidRPr="004A0001">
        <w:rPr>
          <w:szCs w:val="20"/>
        </w:rPr>
        <w:t>Zasoby REACT-EU rozdziela się między państwa członkowskie zgodnie z następującą metodyką: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t>1.</w:t>
      </w:r>
      <w:r w:rsidRPr="004A0001">
        <w:rPr>
          <w:szCs w:val="20"/>
        </w:rPr>
        <w:tab/>
        <w:t>Tymczasowy udział każdego państwa w zasobach REACT-EU ustala się jako ważoną sumę udziałów, które określa się na podstawie następujących kryteriów, z zastosowaniem wskazanej wagi: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a)</w:t>
      </w:r>
      <w:r w:rsidRPr="004A0001">
        <w:rPr>
          <w:szCs w:val="20"/>
        </w:rPr>
        <w:tab/>
        <w:t>Wskaźnik PKB (waga 2/3) uzyskany w wyniku przeprowadzenia następujących czynności:</w:t>
      </w:r>
    </w:p>
    <w:p w:rsidR="004A0001" w:rsidRPr="004A0001" w:rsidRDefault="004A0001" w:rsidP="004A0001">
      <w:pPr>
        <w:spacing w:before="120" w:after="120" w:line="360" w:lineRule="auto"/>
        <w:ind w:left="2552" w:hanging="567"/>
        <w:rPr>
          <w:szCs w:val="20"/>
        </w:rPr>
      </w:pPr>
      <w:r w:rsidRPr="004A0001">
        <w:rPr>
          <w:szCs w:val="20"/>
        </w:rPr>
        <w:t>(i)</w:t>
      </w:r>
      <w:r w:rsidRPr="004A0001">
        <w:rPr>
          <w:szCs w:val="20"/>
        </w:rPr>
        <w:tab/>
        <w:t>obliczenia udziału każdego państwa członkowskiego w całkowitej utracie realnego wyrównanego sezonowo PKB wyrażonego w EUR, jaka miała miejsce między pierwszym półroczem 2019 r. a końcem mającego zastosowanie okresu odniesienia we wszystkich przedmiotowych państwach członkowskich;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2552" w:hanging="567"/>
        <w:rPr>
          <w:szCs w:val="20"/>
        </w:rPr>
      </w:pPr>
      <w:r w:rsidRPr="004A0001">
        <w:rPr>
          <w:szCs w:val="20"/>
        </w:rPr>
        <w:lastRenderedPageBreak/>
        <w:t>(ii)</w:t>
      </w:r>
      <w:r w:rsidRPr="004A0001">
        <w:rPr>
          <w:szCs w:val="20"/>
        </w:rPr>
        <w:tab/>
        <w:t xml:space="preserve">korekty ▌udziałów </w:t>
      </w:r>
      <w:r w:rsidRPr="004A0001">
        <w:rPr>
          <w:b/>
          <w:i/>
          <w:szCs w:val="20"/>
        </w:rPr>
        <w:t>obliczonych zgodnie z ppkt (i)</w:t>
      </w:r>
      <w:r w:rsidRPr="004A0001">
        <w:rPr>
          <w:szCs w:val="20"/>
        </w:rPr>
        <w:t xml:space="preserve"> przez podzielenie ich przez wartość DNB na mieszkańca wyrażoną, jako odsetek średniego DNB na mieszkańca UE-27 (średnia wartość wynosi 100 %).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b)</w:t>
      </w:r>
      <w:r w:rsidRPr="004A0001">
        <w:rPr>
          <w:szCs w:val="20"/>
        </w:rPr>
        <w:tab/>
        <w:t>Współczynnik bezrobocia (waga 2/9) wyrażony jako średnia ważona:</w:t>
      </w:r>
    </w:p>
    <w:p w:rsidR="004A0001" w:rsidRPr="004A0001" w:rsidRDefault="004A0001" w:rsidP="004A0001">
      <w:pPr>
        <w:spacing w:before="120" w:after="120" w:line="360" w:lineRule="auto"/>
        <w:ind w:left="2552" w:hanging="567"/>
        <w:rPr>
          <w:szCs w:val="20"/>
        </w:rPr>
      </w:pPr>
      <w:r w:rsidRPr="004A0001">
        <w:rPr>
          <w:szCs w:val="20"/>
        </w:rPr>
        <w:t>(i)</w:t>
      </w:r>
      <w:r w:rsidRPr="004A0001">
        <w:rPr>
          <w:szCs w:val="20"/>
        </w:rPr>
        <w:tab/>
        <w:t>udziału państwa członkowskiego w całkowitej liczbie bezrobotnych (waga 3/4) we wszystkich przedmiotowych państwach członkowskich odnotowanej w styczniu 2020 r. oraz</w:t>
      </w:r>
    </w:p>
    <w:p w:rsidR="004A0001" w:rsidRPr="004A0001" w:rsidRDefault="004A0001" w:rsidP="004A0001">
      <w:pPr>
        <w:spacing w:before="120" w:after="120" w:line="360" w:lineRule="auto"/>
        <w:ind w:left="2552" w:hanging="567"/>
        <w:rPr>
          <w:szCs w:val="20"/>
        </w:rPr>
      </w:pPr>
      <w:r w:rsidRPr="004A0001">
        <w:rPr>
          <w:szCs w:val="20"/>
        </w:rPr>
        <w:t>(ii)</w:t>
      </w:r>
      <w:r w:rsidRPr="004A0001">
        <w:rPr>
          <w:szCs w:val="20"/>
        </w:rPr>
        <w:tab/>
        <w:t>udziału państwa członkowskiego w całkowitym wzroście liczby bezrobotnych (waga 1/4), jaki nastąpił między styczniem 2020 r. a końcem mającego zastosowanie okresu odniesienia we wszystkich przedmiotowych państwach członkowskich.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c)</w:t>
      </w:r>
      <w:r w:rsidRPr="004A0001">
        <w:rPr>
          <w:szCs w:val="20"/>
        </w:rPr>
        <w:tab/>
        <w:t>Współczynnik bezrobocia osób młodych (waga 1/9) wyrażony jako średnia:</w:t>
      </w:r>
    </w:p>
    <w:p w:rsidR="004A0001" w:rsidRPr="004A0001" w:rsidRDefault="004A0001" w:rsidP="004A0001">
      <w:pPr>
        <w:spacing w:before="120" w:after="120" w:line="360" w:lineRule="auto"/>
        <w:ind w:left="2552" w:hanging="567"/>
        <w:rPr>
          <w:szCs w:val="20"/>
        </w:rPr>
      </w:pPr>
      <w:r w:rsidRPr="004A0001">
        <w:rPr>
          <w:szCs w:val="20"/>
        </w:rPr>
        <w:t>(i)</w:t>
      </w:r>
      <w:r w:rsidRPr="004A0001">
        <w:rPr>
          <w:szCs w:val="20"/>
        </w:rPr>
        <w:tab/>
        <w:t>udziału państwa członkowskiego w całkowitej liczbie bezrobotnych osób młodych (waga 3/4) we wszystkich przedmiotowych państwach członkowskich odnotowanej w styczniu 2020 r. oraz</w:t>
      </w:r>
    </w:p>
    <w:p w:rsidR="004A0001" w:rsidRPr="004A0001" w:rsidRDefault="004A0001" w:rsidP="004A0001">
      <w:pPr>
        <w:spacing w:before="120" w:after="120" w:line="360" w:lineRule="auto"/>
        <w:ind w:left="2552" w:hanging="567"/>
        <w:rPr>
          <w:szCs w:val="20"/>
        </w:rPr>
      </w:pPr>
      <w:r w:rsidRPr="004A0001">
        <w:rPr>
          <w:szCs w:val="20"/>
        </w:rPr>
        <w:t>(ii)</w:t>
      </w:r>
      <w:r w:rsidRPr="004A0001">
        <w:rPr>
          <w:szCs w:val="20"/>
        </w:rPr>
        <w:tab/>
        <w:t>udziału państwa członkowskiego w całkowitym wzroście liczby bezrobotnych osób młodych (waga 1/4), jaki nastąpił między styczniem 2020 r. a mającym zastosowanie okresem odniesienia we wszystkich przedmiotowych państwach członkowskich.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985"/>
        <w:rPr>
          <w:szCs w:val="20"/>
        </w:rPr>
      </w:pPr>
      <w:r w:rsidRPr="004A0001">
        <w:rPr>
          <w:szCs w:val="20"/>
        </w:rPr>
        <w:lastRenderedPageBreak/>
        <w:t>Jeżeli realny wyrównany sezonowo PKB danego państwa członkowskiego wyrażony w EUR jest wyższy w mającym zastosowanie okresie odniesienia niż w pierwszym półroczu 2019 r., danych takiego państwa członkowskiego nie uwzględnia się w obliczeniach określonych w lit. a) ppkt (i).</w:t>
      </w:r>
    </w:p>
    <w:p w:rsidR="004A0001" w:rsidRPr="004A0001" w:rsidRDefault="004A0001" w:rsidP="004A0001">
      <w:pPr>
        <w:spacing w:before="120" w:after="120" w:line="360" w:lineRule="auto"/>
        <w:ind w:left="1985"/>
        <w:rPr>
          <w:szCs w:val="20"/>
        </w:rPr>
      </w:pPr>
      <w:r w:rsidRPr="004A0001">
        <w:rPr>
          <w:szCs w:val="20"/>
        </w:rPr>
        <w:t>Jeżeli liczba bezrobotnych (grupa wiekowa od 15 do 74 lat) lub bezrobotnych osób młodych (grupa wiekowa od 15 do 24 lat) w państwie członkowskim jest niższa w mającym zastosowanie okresie odniesienia niż w styczniu 2020 r., danych takiego państwa członkowskiego nie uwzględnia się w obliczeniach określonych w lit. b) ppkt (ii) oraz w lit. c) ppkt (ii).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rFonts w:eastAsia="Calibri"/>
          <w:szCs w:val="20"/>
        </w:rPr>
      </w:pPr>
      <w:r w:rsidRPr="004A0001">
        <w:rPr>
          <w:szCs w:val="20"/>
        </w:rPr>
        <w:t xml:space="preserve">2. </w:t>
      </w:r>
      <w:r w:rsidRPr="004A0001">
        <w:rPr>
          <w:szCs w:val="20"/>
        </w:rPr>
        <w:tab/>
        <w:t xml:space="preserve">Zasady określone w ust. 1 nie mogą skutkować krajowymi alokacjami w całym okresie </w:t>
      </w:r>
      <w:r w:rsidRPr="004A0001">
        <w:rPr>
          <w:b/>
          <w:i/>
          <w:szCs w:val="20"/>
        </w:rPr>
        <w:t>2021</w:t>
      </w:r>
      <w:r w:rsidRPr="004A0001">
        <w:rPr>
          <w:szCs w:val="20"/>
        </w:rPr>
        <w:t>–2022 wyższymi niż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a)</w:t>
      </w:r>
      <w:r w:rsidRPr="004A0001">
        <w:rPr>
          <w:szCs w:val="20"/>
        </w:rPr>
        <w:tab/>
        <w:t>w przypadku państw członkowskich, których średni DNB na mieszkańca (w PPS) w latach 2015–2017 przekracza 109 % średniej UE-27: 0,07 % ich realnego PKB w 2019 r.;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b)</w:t>
      </w:r>
      <w:r w:rsidRPr="004A0001">
        <w:rPr>
          <w:szCs w:val="20"/>
        </w:rPr>
        <w:tab/>
        <w:t>w przypadku państw członkowskich, których średni DNB na mieszkańca (w PPS) w latach 2015–2017 nie przekracza 90 % średniej UE-27: 2,60 % ich realnego PKB w 2019 r.;</w:t>
      </w:r>
    </w:p>
    <w:p w:rsidR="004A0001" w:rsidRPr="004A0001" w:rsidRDefault="004A0001" w:rsidP="004A0001">
      <w:pPr>
        <w:rPr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lastRenderedPageBreak/>
        <w:t>c)</w:t>
      </w:r>
      <w:r w:rsidRPr="004A0001">
        <w:rPr>
          <w:szCs w:val="20"/>
        </w:rPr>
        <w:tab/>
        <w:t>w przypadku państw członkowskich, których średni DNB na mieszkańca (w PPS) w latach 2015–2017 przekracza 90 % lecz nie przekracza 109 % średniej UE-27: odpowiedni odsetek uzyskuje się w drodze interpolacji liniowej od 0,07 % do 2,60 % ich realnego PKB w 2019 r., co prowadzi do obniżenia pułapu procentowego proporcjonalnie do wzrostu zamożności.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szCs w:val="20"/>
        </w:rPr>
        <w:t>Kwoty przekraczające poziom określony w lit. a)–c) w przypadku poszczególnych państw członkowskich rozdziela się ponownie, proporcjonalnie do alokacji wszystkich pozostałych państw członkowskich, których średni DNB na mieszkańca (w PPS) jest niższy niż 100 % średniej UE-27. DNB na mieszkańca (w PPS) w latach 2015–2017 jest wielkością, którą wykorzystuje się w odniesieniu do polityki spójności w negocjacjach w sprawie WRF na lata 2021–2027.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rFonts w:eastAsia="Calibri"/>
          <w:szCs w:val="20"/>
        </w:rPr>
      </w:pPr>
      <w:r w:rsidRPr="004A0001">
        <w:rPr>
          <w:szCs w:val="20"/>
        </w:rPr>
        <w:t xml:space="preserve">3. </w:t>
      </w:r>
      <w:r w:rsidRPr="004A0001">
        <w:rPr>
          <w:szCs w:val="20"/>
        </w:rPr>
        <w:tab/>
        <w:t xml:space="preserve">W celu obliczenia podziału zasobów REACT-EU na </w:t>
      </w:r>
      <w:r w:rsidRPr="004A0001">
        <w:rPr>
          <w:b/>
          <w:i/>
          <w:szCs w:val="20"/>
        </w:rPr>
        <w:t>rok</w:t>
      </w:r>
      <w:r w:rsidRPr="004A0001">
        <w:rPr>
          <w:szCs w:val="20"/>
        </w:rPr>
        <w:t> 2021: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a)</w:t>
      </w:r>
      <w:r w:rsidRPr="004A0001">
        <w:rPr>
          <w:szCs w:val="20"/>
        </w:rPr>
        <w:tab/>
        <w:t>w odniesieniu do PKB okresem odniesienia jest pierwsze półrocze 2020 r.;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b)</w:t>
      </w:r>
      <w:r w:rsidRPr="004A0001">
        <w:rPr>
          <w:szCs w:val="20"/>
        </w:rPr>
        <w:tab/>
        <w:t>w odniesieniu do liczby bezrobotnych i liczby bezrobotnych osób młodych okresem odniesienia jest średnia z okresu od czerwca do sierpnia 2020 r.;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 xml:space="preserve">c) </w:t>
      </w:r>
      <w:r w:rsidRPr="004A0001">
        <w:rPr>
          <w:szCs w:val="20"/>
        </w:rPr>
        <w:tab/>
        <w:t xml:space="preserve">maksymalną alokację wynikającą z zastosowania ust. 2 mnoży się przez udział zasobów REACT-EU na </w:t>
      </w:r>
      <w:r w:rsidRPr="004A0001">
        <w:rPr>
          <w:b/>
          <w:i/>
          <w:szCs w:val="20"/>
        </w:rPr>
        <w:t>rok</w:t>
      </w:r>
      <w:r w:rsidRPr="004A0001">
        <w:rPr>
          <w:szCs w:val="20"/>
        </w:rPr>
        <w:t xml:space="preserve"> 2021 w całkowitych zasobach REACT-EU na lata ▌2021 i 2022. </w:t>
      </w:r>
    </w:p>
    <w:p w:rsidR="004A0001" w:rsidRPr="004A0001" w:rsidRDefault="004A0001" w:rsidP="004A0001">
      <w:pPr>
        <w:rPr>
          <w:rFonts w:eastAsia="Calibri"/>
          <w:szCs w:val="20"/>
        </w:rPr>
      </w:pPr>
      <w:r w:rsidRPr="004A0001">
        <w:rPr>
          <w:szCs w:val="20"/>
        </w:rPr>
        <w:br w:type="page"/>
      </w:r>
    </w:p>
    <w:p w:rsidR="004A0001" w:rsidRPr="004A0001" w:rsidRDefault="004A0001" w:rsidP="004A0001">
      <w:pPr>
        <w:spacing w:before="120" w:after="120" w:line="360" w:lineRule="auto"/>
        <w:ind w:left="1418"/>
        <w:rPr>
          <w:rFonts w:eastAsia="Calibri"/>
          <w:szCs w:val="20"/>
        </w:rPr>
      </w:pPr>
      <w:r w:rsidRPr="004A0001">
        <w:rPr>
          <w:szCs w:val="20"/>
        </w:rPr>
        <w:lastRenderedPageBreak/>
        <w:t xml:space="preserve">Przed zastosowaniem metody opisanej w ust. 1 i 2 dotyczącej zasobów REACT-EU na </w:t>
      </w:r>
      <w:r w:rsidRPr="004A0001">
        <w:rPr>
          <w:b/>
          <w:i/>
          <w:szCs w:val="20"/>
        </w:rPr>
        <w:t>2021</w:t>
      </w:r>
      <w:r w:rsidRPr="004A0001">
        <w:rPr>
          <w:szCs w:val="20"/>
        </w:rPr>
        <w:t xml:space="preserve"> r. </w:t>
      </w:r>
      <w:r w:rsidRPr="004A0001">
        <w:rPr>
          <w:b/>
          <w:i/>
          <w:szCs w:val="20"/>
        </w:rPr>
        <w:t>Luksemburgowi i Malcie</w:t>
      </w:r>
      <w:r w:rsidRPr="004A0001">
        <w:rPr>
          <w:szCs w:val="20"/>
        </w:rPr>
        <w:t xml:space="preserve"> alokuje się </w:t>
      </w:r>
      <w:r w:rsidRPr="004A0001">
        <w:rPr>
          <w:b/>
          <w:i/>
          <w:szCs w:val="20"/>
        </w:rPr>
        <w:t>odpowiednio kwotę 100 000 000 EUR i 50 000 000 EUR</w:t>
      </w:r>
      <w:r w:rsidRPr="004A0001">
        <w:rPr>
          <w:szCs w:val="20"/>
        </w:rPr>
        <w:t>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szCs w:val="20"/>
        </w:rPr>
      </w:pPr>
      <w:r w:rsidRPr="004A0001">
        <w:rPr>
          <w:b/>
          <w:i/>
          <w:szCs w:val="20"/>
        </w:rPr>
        <w:t>Ponadto</w:t>
      </w:r>
      <w:r w:rsidRPr="004A0001">
        <w:rPr>
          <w:szCs w:val="20"/>
        </w:rPr>
        <w:t xml:space="preserve"> przydziela się z alokacji kwotę odpowiadającą intensywności pomocy w wysokości 30 EUR na mieszkańca regionom najbardziej oddalonym na poziomie NUTS 2.  Środki te zostaną rozdzielone na regiony i państwa członkowskie w sposób proporcjonalny do całkowitej liczby ludności tych regionów. </w:t>
      </w:r>
      <w:r w:rsidRPr="004A0001">
        <w:rPr>
          <w:b/>
          <w:i/>
          <w:szCs w:val="20"/>
        </w:rPr>
        <w:t>Dodatkową alokację dla regionów najbardziej oddalonych dodaje się do kwoty, którą każdy region najbardziej oddalony otrzymuje w ramach podziału krajowych środków budżetowych.</w:t>
      </w:r>
    </w:p>
    <w:p w:rsidR="004A0001" w:rsidRPr="004A0001" w:rsidRDefault="004A0001" w:rsidP="004A0001">
      <w:pPr>
        <w:spacing w:before="120" w:after="120" w:line="360" w:lineRule="auto"/>
        <w:ind w:left="1418"/>
        <w:rPr>
          <w:rFonts w:eastAsia="Calibri"/>
          <w:szCs w:val="20"/>
        </w:rPr>
      </w:pPr>
      <w:r w:rsidRPr="004A0001">
        <w:rPr>
          <w:szCs w:val="20"/>
        </w:rPr>
        <w:t xml:space="preserve">Pozostałą kwotę na </w:t>
      </w:r>
      <w:r w:rsidRPr="004A0001">
        <w:rPr>
          <w:b/>
          <w:i/>
          <w:szCs w:val="20"/>
        </w:rPr>
        <w:t>2021</w:t>
      </w:r>
      <w:r w:rsidRPr="004A0001">
        <w:rPr>
          <w:szCs w:val="20"/>
        </w:rPr>
        <w:t xml:space="preserve"> r. rozdziela się między państwa członkowskie zgodnie z metodą opisaną w ust. 1 i 2.</w:t>
      </w:r>
    </w:p>
    <w:p w:rsidR="004A0001" w:rsidRPr="004A0001" w:rsidRDefault="004A0001" w:rsidP="004A0001">
      <w:pPr>
        <w:spacing w:before="120" w:after="120" w:line="360" w:lineRule="auto"/>
        <w:ind w:left="1418" w:hanging="567"/>
        <w:rPr>
          <w:szCs w:val="20"/>
        </w:rPr>
      </w:pPr>
      <w:r w:rsidRPr="004A0001">
        <w:rPr>
          <w:szCs w:val="20"/>
        </w:rPr>
        <w:t>4.</w:t>
      </w:r>
      <w:r w:rsidRPr="004A0001">
        <w:rPr>
          <w:szCs w:val="20"/>
        </w:rPr>
        <w:tab/>
        <w:t>W celu obliczenia alokacji ▌zasobów REACT-EU na rok 2022: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a)</w:t>
      </w:r>
      <w:r w:rsidRPr="004A0001">
        <w:rPr>
          <w:szCs w:val="20"/>
        </w:rPr>
        <w:tab/>
        <w:t>w odniesieniu do PKB okresem odniesienia jest pierwsze półrocze 2021 r.;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>b)</w:t>
      </w:r>
      <w:r w:rsidRPr="004A0001">
        <w:rPr>
          <w:szCs w:val="20"/>
        </w:rPr>
        <w:tab/>
        <w:t>w odniesieniu do liczby bezrobotnych i liczby bezrobotnych osób młodych okresem odniesienia jest średnia z okresu od czerwca do sierpnia 2021 r.;</w:t>
      </w:r>
    </w:p>
    <w:p w:rsidR="004A0001" w:rsidRPr="004A0001" w:rsidRDefault="004A0001" w:rsidP="004A0001">
      <w:pPr>
        <w:spacing w:before="120" w:after="120" w:line="360" w:lineRule="auto"/>
        <w:ind w:left="1985" w:hanging="567"/>
        <w:rPr>
          <w:szCs w:val="20"/>
        </w:rPr>
      </w:pPr>
      <w:r w:rsidRPr="004A0001">
        <w:rPr>
          <w:szCs w:val="20"/>
        </w:rPr>
        <w:t xml:space="preserve">c) </w:t>
      </w:r>
      <w:r w:rsidRPr="004A0001">
        <w:rPr>
          <w:szCs w:val="20"/>
        </w:rPr>
        <w:tab/>
        <w:t>maksymalną alokację wynikającą z zastosowania ust. 2 mnoży się przez udział zasobów REACT-EU na rok 2022 w całkowitych zasobach REACT-EU na lata ▌2021 i 2022.”.</w:t>
      </w:r>
    </w:p>
    <w:p w:rsidR="004A0001" w:rsidRPr="004A0001" w:rsidRDefault="004A0001" w:rsidP="004A0001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  <w:szCs w:val="20"/>
        </w:rPr>
      </w:pPr>
    </w:p>
    <w:p w:rsidR="000F2FE2" w:rsidRPr="004A0001" w:rsidRDefault="000F2FE2" w:rsidP="008D715A"/>
    <w:sectPr w:rsidR="000F2FE2" w:rsidRPr="004A0001" w:rsidSect="009844B0">
      <w:footerReference w:type="first" r:id="rId14"/>
      <w:footnotePr>
        <w:numRestart w:val="eachPage"/>
      </w:footnotePr>
      <w:pgSz w:w="11906" w:h="16838" w:code="9"/>
      <w:pgMar w:top="1134" w:right="1418" w:bottom="1418" w:left="1418" w:header="1134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E1" w:rsidRPr="004A0001" w:rsidRDefault="008C39E1">
      <w:r w:rsidRPr="004A0001">
        <w:separator/>
      </w:r>
    </w:p>
    <w:p w:rsidR="008C39E1" w:rsidRPr="004A0001" w:rsidRDefault="008C39E1"/>
  </w:endnote>
  <w:endnote w:type="continuationSeparator" w:id="0">
    <w:p w:rsidR="008C39E1" w:rsidRPr="004A0001" w:rsidRDefault="008C39E1">
      <w:r w:rsidRPr="004A0001">
        <w:continuationSeparator/>
      </w:r>
    </w:p>
    <w:p w:rsidR="008C39E1" w:rsidRPr="004A0001" w:rsidRDefault="008C3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01" w:rsidRDefault="004A0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14" w:rsidRPr="004A0001" w:rsidRDefault="004A0001" w:rsidP="004A0001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481D11">
      <w:rPr>
        <w:noProof/>
      </w:rPr>
      <w:t>- 40 -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6C" w:rsidRPr="004A0001" w:rsidRDefault="00A3406C" w:rsidP="002E0D12">
    <w:pPr>
      <w:pStyle w:val="EPFooter"/>
    </w:pPr>
    <w:r w:rsidRPr="004A0001">
      <w:tab/>
    </w:r>
    <w:r w:rsidRPr="004A0001">
      <w:tab/>
    </w:r>
    <w:r w:rsidR="00640252" w:rsidRPr="004A0001">
      <w:t>PE</w:t>
    </w:r>
    <w:r w:rsidR="004A0001" w:rsidRPr="004A0001">
      <w:t>652.787v01-00</w:t>
    </w:r>
  </w:p>
  <w:p w:rsidR="00AA1411" w:rsidRPr="004A0001" w:rsidRDefault="004A0001" w:rsidP="00342886">
    <w:pPr>
      <w:pStyle w:val="EPFooter2"/>
      <w:tabs>
        <w:tab w:val="clear" w:pos="4535"/>
        <w:tab w:val="center" w:pos="4536"/>
      </w:tabs>
      <w:ind w:left="-840"/>
    </w:pPr>
    <w:r w:rsidRPr="004A0001">
      <w:fldChar w:fldCharType="begin"/>
    </w:r>
    <w:r w:rsidRPr="004A0001">
      <w:instrText xml:space="preserve"> DOCPROPERTY "&lt;Extension&gt;" </w:instrText>
    </w:r>
    <w:r w:rsidRPr="004A0001">
      <w:fldChar w:fldCharType="separate"/>
    </w:r>
    <w:r>
      <w:t>PL</w:t>
    </w:r>
    <w:r w:rsidRPr="004A0001">
      <w:fldChar w:fldCharType="end"/>
    </w:r>
    <w:r w:rsidR="00AA1411" w:rsidRPr="004A0001">
      <w:tab/>
    </w:r>
    <w:r w:rsidRPr="004A0001">
      <w:rPr>
        <w:b w:val="0"/>
        <w:i/>
        <w:color w:val="C0C0C0"/>
        <w:sz w:val="22"/>
        <w:szCs w:val="22"/>
      </w:rPr>
      <w:t>Zjednoczona w różnorodności</w:t>
    </w:r>
    <w:r w:rsidR="00AA1411" w:rsidRPr="004A0001">
      <w:tab/>
    </w:r>
    <w:r w:rsidRPr="004A0001">
      <w:fldChar w:fldCharType="begin"/>
    </w:r>
    <w:r w:rsidRPr="004A0001">
      <w:instrText xml:space="preserve"> DOCPROPERTY "&lt;Extension&gt;" </w:instrText>
    </w:r>
    <w:r w:rsidRPr="004A0001">
      <w:fldChar w:fldCharType="separate"/>
    </w:r>
    <w:r>
      <w:t>PL</w:t>
    </w:r>
    <w:r w:rsidRPr="004A000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B0" w:rsidRPr="004A0001" w:rsidRDefault="009844B0" w:rsidP="002E0D12">
    <w:pPr>
      <w:pStyle w:val="EPFooter"/>
    </w:pPr>
    <w:r w:rsidRPr="004A0001">
      <w:tab/>
    </w:r>
    <w:r w:rsidRPr="004A0001">
      <w:tab/>
    </w:r>
    <w:r w:rsidR="00640252" w:rsidRPr="004A0001">
      <w:t>PE</w:t>
    </w:r>
    <w:r w:rsidR="004A0001" w:rsidRPr="004A0001">
      <w:t>652.787v01-00</w:t>
    </w:r>
  </w:p>
  <w:p w:rsidR="009844B0" w:rsidRPr="004A0001" w:rsidRDefault="00494D50" w:rsidP="00342886">
    <w:pPr>
      <w:pStyle w:val="EPFooter2"/>
      <w:tabs>
        <w:tab w:val="clear" w:pos="4535"/>
        <w:tab w:val="center" w:pos="4536"/>
      </w:tabs>
      <w:ind w:left="-840"/>
    </w:pPr>
    <w:r w:rsidRPr="004A0001">
      <w:fldChar w:fldCharType="begin"/>
    </w:r>
    <w:r w:rsidRPr="004A0001">
      <w:instrText xml:space="preserve"> DOCPROPERTY "&lt;Extension&gt;" </w:instrText>
    </w:r>
    <w:r w:rsidRPr="004A0001">
      <w:fldChar w:fldCharType="separate"/>
    </w:r>
    <w:r w:rsidR="004A0001" w:rsidRPr="004A0001">
      <w:t>PL</w:t>
    </w:r>
    <w:r w:rsidRPr="004A0001">
      <w:fldChar w:fldCharType="end"/>
    </w:r>
    <w:r w:rsidR="009844B0" w:rsidRPr="004A0001">
      <w:tab/>
    </w:r>
    <w:r w:rsidR="004A0001" w:rsidRPr="004A0001">
      <w:rPr>
        <w:b w:val="0"/>
        <w:i/>
        <w:color w:val="C0C0C0"/>
        <w:sz w:val="22"/>
        <w:szCs w:val="22"/>
      </w:rPr>
      <w:t>Zjednoczona w różnorodności</w:t>
    </w:r>
    <w:r w:rsidR="009844B0" w:rsidRPr="004A0001">
      <w:tab/>
    </w:r>
    <w:r w:rsidRPr="004A0001">
      <w:fldChar w:fldCharType="begin"/>
    </w:r>
    <w:r w:rsidRPr="004A0001">
      <w:instrText xml:space="preserve"> DOCPROPERTY "&lt;Extension&gt;" </w:instrText>
    </w:r>
    <w:r w:rsidRPr="004A0001">
      <w:fldChar w:fldCharType="separate"/>
    </w:r>
    <w:r w:rsidR="004A0001" w:rsidRPr="004A0001">
      <w:t>PL</w:t>
    </w:r>
    <w:r w:rsidRPr="004A00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E1" w:rsidRPr="004A0001" w:rsidRDefault="008C39E1">
      <w:r w:rsidRPr="004A0001">
        <w:separator/>
      </w:r>
    </w:p>
    <w:p w:rsidR="008C39E1" w:rsidRPr="004A0001" w:rsidRDefault="008C39E1"/>
  </w:footnote>
  <w:footnote w:type="continuationSeparator" w:id="0">
    <w:p w:rsidR="008C39E1" w:rsidRPr="004A0001" w:rsidRDefault="008C39E1">
      <w:r w:rsidRPr="004A0001">
        <w:continuationSeparator/>
      </w:r>
    </w:p>
    <w:p w:rsidR="008C39E1" w:rsidRPr="004A0001" w:rsidRDefault="008C39E1"/>
  </w:footnote>
  <w:footnote w:id="1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Dz.U. C 272 z 17.8.2020, s. 1.</w:t>
      </w:r>
    </w:p>
  </w:footnote>
  <w:footnote w:id="2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Opinia z dnia 14 października 2020 r. (dotychczas nieopublikowana w Dzienniku Urzędowym).</w:t>
      </w:r>
    </w:p>
  </w:footnote>
  <w:footnote w:id="3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Stanowisko Parlamentu Europejskiego z dnia 16 grudnia 2020 r.</w:t>
      </w:r>
    </w:p>
  </w:footnote>
  <w:footnote w:id="4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Rozporządzenie Parlamentu Europejskiego i Rady (UE) nr 1301/2013 z dnia 17 grudnia 2013 r. w sprawie Europejskiego Funduszu Rozwoju Regionalnego i przepisów szczególnych dotyczących celu „Inwestycje na rzecz wzrostu i zatrudnienia” oraz w sprawie uchylenia rozporządzenia (WE) nr 1080/2006 (Dz.U. L 347 z 20.12.2013, s. 289).</w:t>
      </w:r>
    </w:p>
  </w:footnote>
  <w:footnote w:id="5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L 347 z 20.12.2013, s. 320).</w:t>
      </w:r>
    </w:p>
  </w:footnote>
  <w:footnote w:id="6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Rozporządzenie Parlamentu Europejskiego i Rady (UE) 2020/460 z dnia 30 marca 2020 r. zmieniające rozporządzenia (UE) nr 1301/2013, (UE) nr 1303/2013 oraz (UE) nr 508/2014 w odniesieniu do szczególnych środków w celu uruchomienia inwestycji w systemach ochrony zdrowia państw członkowskich oraz w innych sektorach ich gospodarek w odpowiedzi na epidemię COVID-19 (Inicjatywa inwestycyjna w odpowiedzi na koronawirusa) (Dz.U. L 99 z 31.3.2020, s. 5);</w:t>
      </w:r>
    </w:p>
  </w:footnote>
  <w:footnote w:id="7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Rozporządzenie Parlamentu Europejskiego i Rady (UE) 2020/558 z dnia 23 kwietnia 2020 r. zmieniające rozporządzenia (UE) nr 1301/2013 i (UE) nr 1303/2013 w odniesieniu do szczególnych środków zapewniających wyjątkową elastyczność na potrzeby wykorzystania europejskich funduszy strukturalnych i inwestycyjnych w odpowiedzi na epidemię COVID-19 (Dz.U. L 130 z 24.4.2020, s. 1).</w:t>
      </w:r>
    </w:p>
  </w:footnote>
  <w:footnote w:id="8">
    <w:p w:rsidR="004A0001" w:rsidRPr="004A0001" w:rsidRDefault="004A0001" w:rsidP="004A0001">
      <w:pPr>
        <w:pStyle w:val="FootnoteText"/>
        <w:ind w:left="567" w:hanging="567"/>
        <w:rPr>
          <w:sz w:val="24"/>
        </w:rPr>
      </w:pPr>
      <w:r w:rsidRPr="004A0001">
        <w:rPr>
          <w:rStyle w:val="FootnoteReference"/>
          <w:sz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Rozporządzenie Rady (UE) .../... ustanawiające Instrument Unii Europejskiej na rzecz Odbudowy w celu wsparcia odbudowy w następstwie kryzysu związanego z COVID-19 (Dz.U. ... s. ...)</w:t>
      </w:r>
    </w:p>
  </w:footnote>
  <w:footnote w:id="9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</w:rPr>
        <w:t>+</w:t>
      </w:r>
      <w:r w:rsidRPr="004A0001">
        <w:rPr>
          <w:sz w:val="24"/>
        </w:rPr>
        <w:t xml:space="preserve"> </w:t>
      </w:r>
      <w:r w:rsidRPr="004A0001">
        <w:rPr>
          <w:sz w:val="24"/>
        </w:rPr>
        <w:tab/>
      </w:r>
      <w:r w:rsidRPr="004A0001">
        <w:rPr>
          <w:sz w:val="24"/>
          <w:szCs w:val="24"/>
        </w:rPr>
        <w:t>Dz.U.: proszę wstawić w tekście numer rozporządzenia zawartego w dokumencie ST 9971/20 (2020/0111(NLE)), a także podać w przypisie numer, datę i tytuł tego rozporządzenia oraz odniesienie do jego publikacji w Dz.U.</w:t>
      </w:r>
    </w:p>
  </w:footnote>
  <w:footnote w:id="10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</w:rPr>
        <w:t>++</w:t>
      </w:r>
      <w:r w:rsidRPr="004A0001">
        <w:rPr>
          <w:sz w:val="24"/>
        </w:rPr>
        <w:t xml:space="preserve"> </w:t>
      </w:r>
      <w:r w:rsidRPr="004A0001">
        <w:rPr>
          <w:sz w:val="24"/>
        </w:rPr>
        <w:tab/>
      </w:r>
      <w:r w:rsidRPr="004A0001">
        <w:rPr>
          <w:sz w:val="24"/>
          <w:szCs w:val="24"/>
        </w:rPr>
        <w:t>Dz.U.: proszę wstawić w tekście numer rozporządzenia zawartego w dokumencie ST 9971/20 (2020/0111(NLE)).</w:t>
      </w:r>
    </w:p>
  </w:footnote>
  <w:footnote w:id="11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Rozporządzenie Parlamentu Europejskiego i Rady (UE, Euratom) 2018/1046 z dnia 18 lipca 2018 r. w sprawie zasad finansowych mających zastosowanie do budżetu ogólnego Unii, zmieniające rozporządzenia (UE) nr 1296/2013, (UE) nr 1301/2013, (UE) nr 1303/2013, (UE) nr 1304/2013, (UE) nr 1309/2013, (UE) nr 1316/2013, (UE) nr 223/2014 i (UE) nr 283/2014 oraz decyzję nr 541/2014/UE, a także uchylające rozporządzenie (UE, Euratom) nr 966/2012 (Dz.U. L 193 z 30.7.2018, s. 1).</w:t>
      </w:r>
    </w:p>
  </w:footnote>
  <w:footnote w:id="12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Dz.U. L 29 z 31.1.2020, s. 7.</w:t>
      </w:r>
    </w:p>
  </w:footnote>
  <w:footnote w:id="13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>Rozporządzenie Rady (UE, Euratom) nr 1311/2013 z dnia 2 grudnia 2013 r. określające wieloletnie ramy finansowe na lata 2014–2020 (Dz.U. L 347 z 20.12.2013, s. 884).</w:t>
      </w:r>
    </w:p>
  </w:footnote>
  <w:footnote w:id="14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  <w:szCs w:val="24"/>
        </w:rPr>
        <w:footnoteRef/>
      </w:r>
      <w:r w:rsidRPr="004A0001">
        <w:rPr>
          <w:sz w:val="24"/>
          <w:szCs w:val="24"/>
        </w:rPr>
        <w:t xml:space="preserve"> </w:t>
      </w:r>
      <w:r w:rsidRPr="004A0001">
        <w:rPr>
          <w:sz w:val="24"/>
          <w:szCs w:val="24"/>
        </w:rPr>
        <w:tab/>
        <w:t xml:space="preserve">Decyzja Rady 2014/335/UE, Euratom z dnia 26 maja 2014 r. w sprawie systemu zasobów własnych Unii Europejskiej (Dz.U. L 168 z 7.6.2014, s. 105). </w:t>
      </w:r>
    </w:p>
  </w:footnote>
  <w:footnote w:id="15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</w:rPr>
        <w:t>+</w:t>
      </w:r>
      <w:r w:rsidRPr="004A0001">
        <w:rPr>
          <w:sz w:val="24"/>
        </w:rPr>
        <w:t xml:space="preserve"> </w:t>
      </w:r>
      <w:r w:rsidRPr="004A0001">
        <w:rPr>
          <w:sz w:val="24"/>
        </w:rPr>
        <w:tab/>
      </w:r>
      <w:r w:rsidRPr="004A0001">
        <w:rPr>
          <w:sz w:val="24"/>
          <w:szCs w:val="24"/>
        </w:rPr>
        <w:t>Dz.U.: proszę wstawić w tekście numer rozporządzenia zawartego w dokumencie ST9971/20 (2020/0111(NLE)).</w:t>
      </w:r>
    </w:p>
  </w:footnote>
  <w:footnote w:id="16">
    <w:p w:rsidR="004A0001" w:rsidRPr="004A0001" w:rsidRDefault="004A0001" w:rsidP="004A0001">
      <w:pPr>
        <w:pStyle w:val="FootnoteText"/>
        <w:ind w:left="567" w:hanging="567"/>
        <w:rPr>
          <w:sz w:val="24"/>
        </w:rPr>
      </w:pPr>
      <w:r w:rsidRPr="004A0001">
        <w:rPr>
          <w:rStyle w:val="FootnoteReference"/>
          <w:sz w:val="24"/>
        </w:rPr>
        <w:t>*</w:t>
      </w:r>
      <w:r w:rsidRPr="004A0001">
        <w:rPr>
          <w:sz w:val="24"/>
        </w:rPr>
        <w:t xml:space="preserve"> </w:t>
      </w:r>
      <w:r w:rsidRPr="004A0001">
        <w:rPr>
          <w:sz w:val="24"/>
        </w:rPr>
        <w:tab/>
        <w:t xml:space="preserve">Dz.U.: proszę wstawić w tekście numer rozporządzenia zawartego w dokumencie ST9971/20 </w:t>
      </w:r>
      <w:r w:rsidRPr="004A0001">
        <w:rPr>
          <w:sz w:val="24"/>
        </w:rPr>
        <w:tab/>
        <w:t>(2020/0111(NLE)).</w:t>
      </w:r>
    </w:p>
  </w:footnote>
  <w:footnote w:id="17">
    <w:p w:rsidR="004A0001" w:rsidRPr="004A0001" w:rsidRDefault="004A0001" w:rsidP="004A0001">
      <w:pPr>
        <w:pStyle w:val="FootnoteText"/>
        <w:ind w:left="567" w:hanging="567"/>
        <w:rPr>
          <w:sz w:val="24"/>
          <w:szCs w:val="24"/>
        </w:rPr>
      </w:pPr>
      <w:r w:rsidRPr="004A0001">
        <w:rPr>
          <w:rStyle w:val="FootnoteReference"/>
          <w:sz w:val="24"/>
        </w:rPr>
        <w:t>+</w:t>
      </w:r>
      <w:r w:rsidRPr="004A0001">
        <w:rPr>
          <w:sz w:val="24"/>
        </w:rPr>
        <w:t xml:space="preserve"> </w:t>
      </w:r>
      <w:r w:rsidRPr="004A0001">
        <w:rPr>
          <w:sz w:val="24"/>
        </w:rPr>
        <w:tab/>
      </w:r>
      <w:r w:rsidRPr="004A0001">
        <w:rPr>
          <w:sz w:val="24"/>
          <w:szCs w:val="24"/>
        </w:rPr>
        <w:t>Dz.U.: proszę wstawić w tekście numer rozporządzenia zawartego w dokumencie ... (2020/0111(NLE)).</w:t>
      </w:r>
    </w:p>
  </w:footnote>
  <w:footnote w:id="18">
    <w:p w:rsidR="004A0001" w:rsidRPr="004A0001" w:rsidRDefault="004A0001" w:rsidP="004A0001">
      <w:pPr>
        <w:pStyle w:val="FootnoteText"/>
        <w:ind w:left="567" w:hanging="567"/>
        <w:rPr>
          <w:sz w:val="24"/>
        </w:rPr>
      </w:pPr>
      <w:r w:rsidRPr="004A0001">
        <w:rPr>
          <w:rStyle w:val="FootnoteReference"/>
          <w:sz w:val="24"/>
        </w:rPr>
        <w:t>+</w:t>
      </w:r>
      <w:r w:rsidRPr="004A0001">
        <w:rPr>
          <w:sz w:val="24"/>
        </w:rPr>
        <w:t xml:space="preserve"> </w:t>
      </w:r>
      <w:r w:rsidRPr="004A0001">
        <w:rPr>
          <w:sz w:val="24"/>
        </w:rPr>
        <w:tab/>
      </w:r>
      <w:r w:rsidRPr="004A0001">
        <w:rPr>
          <w:sz w:val="24"/>
          <w:szCs w:val="24"/>
        </w:rPr>
        <w:t>Dz.U.: proszę wstawić w tekście numer rozporządzenia zawartego w dokumencie ST 9971/20 (2020/0111(NLE)), jego datę oraz odniesienie do Dziennika Urzędowego.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01" w:rsidRDefault="004A0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01" w:rsidRDefault="004A0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01" w:rsidRDefault="004A0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lt;Model&gt;" w:val="TA_TC"/>
    <w:docVar w:name="Date" w:val="16/12/2020"/>
    <w:docVar w:name="DOCDT" w:val="16/12/2020"/>
    <w:docVar w:name="LastEditedSection" w:val=" 1"/>
    <w:docVar w:name="LVLMNU" w:val="1"/>
    <w:docVar w:name="Num-PE" w:val="652.787v01-00"/>
    <w:docVar w:name="strDocTypeID" w:val="TA_TC"/>
    <w:docVar w:name="strSubDir" w:val="A9-"/>
    <w:docVar w:name="TA_Type" w:val="TA_TC"/>
    <w:docVar w:name="Titre" w:val="przyjęte w pierwszym czytaniu w dniu 16 grudnia 2020 r. w celu przyjęcia rozporządzenia Parlamentu Europejskiego i Rady (UE) 2020/... zmieniającego rozporządzenie (UE) nr 1303/2013 w odniesieniu do zasobów dodatkowych i przepisów wykonawczych ▌w celu zapewnienia pomocy na wspieranie kryzysowych działań naprawczych w kontekście pandemii COVID-19 i jej skutków społecznych oraz przygotowanie do ekologicznej i cyfrowej odbudowy gospodarki zwiększającej jej odporność (REACT-EU) (EP-PE_TC1-COD(2020)0101)"/>
    <w:docVar w:name="Titre-Type" w:val="STANOWISKO PARLAMENTU EUROPEJSKIEGO"/>
    <w:docVar w:name="TXTLANGUE" w:val="PL"/>
    <w:docVar w:name="TXTLANGUEMIN" w:val="pl"/>
    <w:docVar w:name="TXTNRCOD" w:val="0101"/>
    <w:docVar w:name="TXTNRPE" w:val="652.787v01-00"/>
    <w:docVar w:name="TXTPEorAP" w:val="PE"/>
    <w:docVar w:name="TXTREFSOURCE" w:val="EP-PE_TC1-COD(2020)0101"/>
    <w:docVar w:name="TXTROUTE" w:val="RR\A9-0150/2020PL.docx"/>
    <w:docVar w:name="TXTRULE" w:val="przyjęte w pierwszym czytaniu w dniu 16 grudnia 2020 r. w celu przyjęcia rozporządzenia Parlamentu Europejskiego i Rady (UE) 2020/... zmieniającego rozporządzenie (UE) nr 1303/2013 w odniesieniu do zasobów dodatkowych i przepisów wykonawczych ▌w celu zapewnienia pomocy na wspieranie kryzysowych działań naprawczych w kontekście pandemii COVID-19 i jej skutków społecznych oraz przygotowanie do ekologicznej i cyfrowej odbudowy gospodarki zwiększającej jej odporność (REACT-EU)"/>
    <w:docVar w:name="TXTRULE2" w:val="!ZZRULE2!"/>
    <w:docVar w:name="TXTRULE3" w:val="!ZZRULE3!"/>
    <w:docVar w:name="TXTYEAR" w:val="2020"/>
  </w:docVars>
  <w:rsids>
    <w:rsidRoot w:val="008C39E1"/>
    <w:rsid w:val="00027017"/>
    <w:rsid w:val="00043BA5"/>
    <w:rsid w:val="000474B0"/>
    <w:rsid w:val="000502A5"/>
    <w:rsid w:val="000756C8"/>
    <w:rsid w:val="0009459A"/>
    <w:rsid w:val="000C620D"/>
    <w:rsid w:val="000E5181"/>
    <w:rsid w:val="000F2FE2"/>
    <w:rsid w:val="00123692"/>
    <w:rsid w:val="001502E1"/>
    <w:rsid w:val="00152E08"/>
    <w:rsid w:val="001A7617"/>
    <w:rsid w:val="002215E8"/>
    <w:rsid w:val="00243603"/>
    <w:rsid w:val="00253BB0"/>
    <w:rsid w:val="002611DA"/>
    <w:rsid w:val="002747B0"/>
    <w:rsid w:val="00287114"/>
    <w:rsid w:val="002A2A21"/>
    <w:rsid w:val="002B02A0"/>
    <w:rsid w:val="002E0D12"/>
    <w:rsid w:val="002E103F"/>
    <w:rsid w:val="003058E0"/>
    <w:rsid w:val="00320173"/>
    <w:rsid w:val="0032447B"/>
    <w:rsid w:val="00330FEA"/>
    <w:rsid w:val="00342886"/>
    <w:rsid w:val="003440CF"/>
    <w:rsid w:val="00376230"/>
    <w:rsid w:val="003813A9"/>
    <w:rsid w:val="003953F6"/>
    <w:rsid w:val="00395B64"/>
    <w:rsid w:val="003F247C"/>
    <w:rsid w:val="00407D75"/>
    <w:rsid w:val="004379F2"/>
    <w:rsid w:val="00481D11"/>
    <w:rsid w:val="00482700"/>
    <w:rsid w:val="00494D50"/>
    <w:rsid w:val="004A0001"/>
    <w:rsid w:val="00523372"/>
    <w:rsid w:val="00580C51"/>
    <w:rsid w:val="005A1111"/>
    <w:rsid w:val="005C4BEC"/>
    <w:rsid w:val="005C637F"/>
    <w:rsid w:val="005E195A"/>
    <w:rsid w:val="005F6117"/>
    <w:rsid w:val="00611C94"/>
    <w:rsid w:val="00612181"/>
    <w:rsid w:val="00624C56"/>
    <w:rsid w:val="00625E53"/>
    <w:rsid w:val="006305F0"/>
    <w:rsid w:val="00640252"/>
    <w:rsid w:val="0065496C"/>
    <w:rsid w:val="006A5C48"/>
    <w:rsid w:val="006D2788"/>
    <w:rsid w:val="006E3857"/>
    <w:rsid w:val="006F4902"/>
    <w:rsid w:val="00733242"/>
    <w:rsid w:val="007567DF"/>
    <w:rsid w:val="007C5179"/>
    <w:rsid w:val="007D1D58"/>
    <w:rsid w:val="007D769C"/>
    <w:rsid w:val="00821B14"/>
    <w:rsid w:val="00830287"/>
    <w:rsid w:val="00846F4F"/>
    <w:rsid w:val="008639EF"/>
    <w:rsid w:val="008C39E1"/>
    <w:rsid w:val="008C5553"/>
    <w:rsid w:val="008D3F7E"/>
    <w:rsid w:val="008D61B8"/>
    <w:rsid w:val="008D715A"/>
    <w:rsid w:val="00910A8D"/>
    <w:rsid w:val="0096592A"/>
    <w:rsid w:val="009844B0"/>
    <w:rsid w:val="009B5D8A"/>
    <w:rsid w:val="00A04F8B"/>
    <w:rsid w:val="00A20422"/>
    <w:rsid w:val="00A3406C"/>
    <w:rsid w:val="00A51CB9"/>
    <w:rsid w:val="00A51D8B"/>
    <w:rsid w:val="00AA1411"/>
    <w:rsid w:val="00AA2401"/>
    <w:rsid w:val="00AA4458"/>
    <w:rsid w:val="00AC3AA6"/>
    <w:rsid w:val="00B1598D"/>
    <w:rsid w:val="00B3321B"/>
    <w:rsid w:val="00B854C4"/>
    <w:rsid w:val="00B86D85"/>
    <w:rsid w:val="00B94A60"/>
    <w:rsid w:val="00BE0112"/>
    <w:rsid w:val="00BE4A46"/>
    <w:rsid w:val="00BE4AC1"/>
    <w:rsid w:val="00C00125"/>
    <w:rsid w:val="00C52FA5"/>
    <w:rsid w:val="00C539FA"/>
    <w:rsid w:val="00CC358E"/>
    <w:rsid w:val="00D06995"/>
    <w:rsid w:val="00D12572"/>
    <w:rsid w:val="00D217F0"/>
    <w:rsid w:val="00D51D39"/>
    <w:rsid w:val="00D5737D"/>
    <w:rsid w:val="00D65CB7"/>
    <w:rsid w:val="00DC49CB"/>
    <w:rsid w:val="00DD1790"/>
    <w:rsid w:val="00DD59A2"/>
    <w:rsid w:val="00DE1919"/>
    <w:rsid w:val="00E0132F"/>
    <w:rsid w:val="00E37826"/>
    <w:rsid w:val="00E75238"/>
    <w:rsid w:val="00E91480"/>
    <w:rsid w:val="00ED7C88"/>
    <w:rsid w:val="00EF4EBC"/>
    <w:rsid w:val="00F82DEC"/>
    <w:rsid w:val="00F9322F"/>
    <w:rsid w:val="00F946C8"/>
    <w:rsid w:val="00F97088"/>
    <w:rsid w:val="00FA48DA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0A95FF-565D-4D2B-957E-066D8FF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95"/>
    <w:pPr>
      <w:widowControl w:val="0"/>
    </w:pPr>
    <w:rPr>
      <w:sz w:val="24"/>
      <w:szCs w:val="24"/>
      <w:lang w:val="pl-PL"/>
    </w:rPr>
  </w:style>
  <w:style w:type="paragraph" w:styleId="Heading1">
    <w:name w:val="heading 1"/>
    <w:basedOn w:val="Normal"/>
    <w:next w:val="Normal"/>
    <w:link w:val="Heading1Char"/>
    <w:semiHidden/>
    <w:qFormat/>
    <w:rsid w:val="00E37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F6117"/>
    <w:pPr>
      <w:tabs>
        <w:tab w:val="center" w:pos="4513"/>
        <w:tab w:val="right" w:pos="9026"/>
      </w:tabs>
    </w:pPr>
  </w:style>
  <w:style w:type="paragraph" w:styleId="BodyTextIndent">
    <w:name w:val="Body Text Indent"/>
    <w:basedOn w:val="Normal"/>
    <w:semiHidden/>
    <w:rsid w:val="00BE4AC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</w:pPr>
    <w:rPr>
      <w:rFonts w:ascii="Arial" w:hAnsi="Arial"/>
      <w:b/>
      <w:sz w:val="48"/>
      <w:szCs w:val="20"/>
      <w:lang w:val="fr-FR"/>
    </w:rPr>
  </w:style>
  <w:style w:type="character" w:customStyle="1" w:styleId="HideTWBExt">
    <w:name w:val="HideTWBExt"/>
    <w:rsid w:val="00BE4AC1"/>
    <w:rPr>
      <w:rFonts w:ascii="Arial" w:hAnsi="Arial"/>
      <w:noProof/>
      <w:vanish/>
      <w:color w:val="000080"/>
      <w:sz w:val="20"/>
    </w:rPr>
  </w:style>
  <w:style w:type="character" w:customStyle="1" w:styleId="FooterChar">
    <w:name w:val="Footer Char"/>
    <w:basedOn w:val="DefaultParagraphFont"/>
    <w:link w:val="Footer"/>
    <w:semiHidden/>
    <w:rsid w:val="00D06995"/>
    <w:rPr>
      <w:sz w:val="24"/>
      <w:szCs w:val="24"/>
    </w:rPr>
  </w:style>
  <w:style w:type="table" w:styleId="TableGrid">
    <w:name w:val="Table Grid"/>
    <w:basedOn w:val="TableNormal"/>
    <w:rsid w:val="00BE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CC358E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BE4AC1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330FE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character" w:customStyle="1" w:styleId="HideTWBInt">
    <w:name w:val="HideTWBInt"/>
    <w:rsid w:val="00D06995"/>
    <w:rPr>
      <w:rFonts w:ascii="Arial" w:hAnsi="Arial" w:cs="Arial"/>
      <w:vanish/>
      <w:color w:val="808080"/>
      <w:sz w:val="20"/>
    </w:rPr>
  </w:style>
  <w:style w:type="paragraph" w:customStyle="1" w:styleId="CoverDocType">
    <w:name w:val="CoverDocType"/>
    <w:basedOn w:val="Normal"/>
    <w:rsid w:val="00BE0112"/>
    <w:pPr>
      <w:ind w:left="1418"/>
    </w:pPr>
    <w:rPr>
      <w:rFonts w:ascii="Arial" w:hAnsi="Arial"/>
      <w:b/>
      <w:bCs/>
      <w:sz w:val="48"/>
    </w:rPr>
  </w:style>
  <w:style w:type="paragraph" w:customStyle="1" w:styleId="EPFooter2">
    <w:name w:val="EPFooter2"/>
    <w:basedOn w:val="Normal"/>
    <w:next w:val="Normal"/>
    <w:rsid w:val="00CC358E"/>
    <w:pPr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  <w:szCs w:val="20"/>
    </w:rPr>
  </w:style>
  <w:style w:type="character" w:styleId="PageNumber">
    <w:name w:val="page number"/>
    <w:basedOn w:val="DefaultParagraphFont"/>
    <w:semiHidden/>
    <w:rsid w:val="00BE4AC1"/>
  </w:style>
  <w:style w:type="paragraph" w:styleId="Header">
    <w:name w:val="header"/>
    <w:basedOn w:val="Normal"/>
    <w:link w:val="HeaderChar"/>
    <w:semiHidden/>
    <w:rsid w:val="00A34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BE0112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305F0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BE0112"/>
  </w:style>
  <w:style w:type="character" w:styleId="EndnoteReference">
    <w:name w:val="endnote reference"/>
    <w:semiHidden/>
    <w:rsid w:val="006305F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05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637F"/>
  </w:style>
  <w:style w:type="character" w:styleId="FootnoteReference">
    <w:name w:val="footnote reference"/>
    <w:semiHidden/>
    <w:rsid w:val="006305F0"/>
    <w:rPr>
      <w:vertAlign w:val="superscript"/>
    </w:rPr>
  </w:style>
  <w:style w:type="paragraph" w:customStyle="1" w:styleId="EPName">
    <w:name w:val="EPName"/>
    <w:basedOn w:val="Normal"/>
    <w:rsid w:val="00580C51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580C5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80C51"/>
    <w:pPr>
      <w:jc w:val="right"/>
    </w:pPr>
    <w:rPr>
      <w:szCs w:val="20"/>
    </w:rPr>
  </w:style>
  <w:style w:type="paragraph" w:customStyle="1" w:styleId="CoverDocType24a">
    <w:name w:val="CoverDocType24a"/>
    <w:basedOn w:val="Normal"/>
    <w:rsid w:val="00BE0112"/>
    <w:pPr>
      <w:spacing w:after="480"/>
      <w:ind w:left="1418"/>
    </w:pPr>
    <w:rPr>
      <w:rFonts w:ascii="Arial" w:hAnsi="Arial"/>
      <w:b/>
      <w:bCs/>
      <w:sz w:val="48"/>
    </w:rPr>
  </w:style>
  <w:style w:type="paragraph" w:customStyle="1" w:styleId="CoverNormal">
    <w:name w:val="CoverNormal"/>
    <w:basedOn w:val="Normal"/>
    <w:rsid w:val="00BE0112"/>
    <w:pPr>
      <w:ind w:left="1418"/>
    </w:pPr>
  </w:style>
  <w:style w:type="paragraph" w:customStyle="1" w:styleId="EPFooter">
    <w:name w:val="EPFooter"/>
    <w:basedOn w:val="Normal"/>
    <w:rsid w:val="005F6117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ing1Char">
    <w:name w:val="Heading 1 Char"/>
    <w:basedOn w:val="DefaultParagraphFont"/>
    <w:link w:val="Heading1"/>
    <w:semiHidden/>
    <w:rsid w:val="00E3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37826"/>
    <w:pPr>
      <w:spacing w:after="240"/>
    </w:pPr>
  </w:style>
  <w:style w:type="paragraph" w:customStyle="1" w:styleId="CoverReference">
    <w:name w:val="CoverReference"/>
    <w:basedOn w:val="Normal"/>
    <w:rsid w:val="00D06995"/>
    <w:pPr>
      <w:spacing w:before="1080"/>
      <w:jc w:val="right"/>
    </w:pPr>
    <w:rPr>
      <w:rFonts w:ascii="Arial" w:hAnsi="Arial" w:cs="Arial"/>
      <w:b/>
      <w:szCs w:val="20"/>
    </w:rPr>
  </w:style>
  <w:style w:type="paragraph" w:customStyle="1" w:styleId="CoverDate">
    <w:name w:val="CoverDate"/>
    <w:basedOn w:val="Normal"/>
    <w:rsid w:val="00D06995"/>
    <w:pPr>
      <w:spacing w:before="240" w:after="1200"/>
    </w:pPr>
    <w:rPr>
      <w:szCs w:val="20"/>
    </w:rPr>
  </w:style>
  <w:style w:type="paragraph" w:customStyle="1" w:styleId="HeadingCenter24a">
    <w:name w:val="HeadingCenter24a"/>
    <w:basedOn w:val="Normal"/>
    <w:rsid w:val="008D715A"/>
    <w:pPr>
      <w:spacing w:after="4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3AAF-1108-46E9-9679-F12E7ACC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6781</Words>
  <Characters>44075</Characters>
  <Application>Microsoft Office Word</Application>
  <DocSecurity>0</DocSecurity>
  <Lines>367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ZALESKI Tomasz</dc:creator>
  <cp:keywords/>
  <cp:lastModifiedBy>zacharoula</cp:lastModifiedBy>
  <cp:revision>3</cp:revision>
  <dcterms:created xsi:type="dcterms:W3CDTF">2021-01-06T15:29:00Z</dcterms:created>
  <dcterms:modified xsi:type="dcterms:W3CDTF">2021-01-14T15:46:00Z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Model&gt;">
    <vt:lpwstr>TA_TC</vt:lpwstr>
  </property>
  <property fmtid="{D5CDD505-2E9C-101B-9397-08002B2CF9AE}" pid="4" name="&lt;Type&gt;">
    <vt:lpwstr>RR</vt:lpwstr>
  </property>
  <property fmtid="{D5CDD505-2E9C-101B-9397-08002B2CF9AE}" pid="5" name="PE number">
    <vt:lpwstr>652.787v01-00</vt:lpwstr>
  </property>
  <property fmtid="{D5CDD505-2E9C-101B-9397-08002B2CF9AE}" pid="6" name="Created with">
    <vt:lpwstr>9.9.1 Build [20200705]</vt:lpwstr>
  </property>
  <property fmtid="{D5CDD505-2E9C-101B-9397-08002B2CF9AE}" pid="7" name="LastEdited with">
    <vt:lpwstr>9.9.1 Build [20200705]</vt:lpwstr>
  </property>
  <property fmtid="{D5CDD505-2E9C-101B-9397-08002B2CF9AE}" pid="8" name="&lt;FdR&gt;">
    <vt:lpwstr>A9-0150/2020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RR\A9-0150/2020PL.docx</vt:lpwstr>
  </property>
</Properties>
</file>