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94D50" w:rsidRPr="00FB5623" w:rsidTr="00C85D0F">
        <w:trPr>
          <w:trHeight w:hRule="exact" w:val="1418"/>
        </w:trPr>
        <w:tc>
          <w:tcPr>
            <w:tcW w:w="6804" w:type="dxa"/>
            <w:shd w:val="clear" w:color="auto" w:fill="auto"/>
            <w:vAlign w:val="center"/>
          </w:tcPr>
          <w:p w:rsidR="00494D50" w:rsidRPr="00FB5623" w:rsidRDefault="00110DDE" w:rsidP="00C85D0F">
            <w:pPr>
              <w:pStyle w:val="EPName"/>
            </w:pPr>
            <w:bookmarkStart w:id="0" w:name="_GoBack"/>
            <w:bookmarkEnd w:id="0"/>
            <w:r w:rsidRPr="00FB5623">
              <w:t>Ευρωπαϊκό Κοινοβούλιο</w:t>
            </w:r>
          </w:p>
          <w:p w:rsidR="00494D50" w:rsidRPr="00FB5623" w:rsidRDefault="00FB5623" w:rsidP="00FB5623">
            <w:pPr>
              <w:pStyle w:val="EPTerm"/>
            </w:pPr>
            <w:r w:rsidRPr="00FB5623">
              <w:t>2019-2024</w:t>
            </w:r>
          </w:p>
        </w:tc>
        <w:tc>
          <w:tcPr>
            <w:tcW w:w="2268" w:type="dxa"/>
            <w:shd w:val="clear" w:color="auto" w:fill="auto"/>
          </w:tcPr>
          <w:p w:rsidR="00494D50" w:rsidRPr="00FB5623" w:rsidRDefault="00494D50" w:rsidP="00C85D0F">
            <w:pPr>
              <w:pStyle w:val="EPLogo"/>
            </w:pPr>
            <w:r w:rsidRPr="00FB5623">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BE4AC1" w:rsidRPr="00FB5623" w:rsidRDefault="00BE4AC1" w:rsidP="00BE4AC1">
      <w:pPr>
        <w:pStyle w:val="LineTop"/>
      </w:pPr>
    </w:p>
    <w:p w:rsidR="00BE4AC1" w:rsidRPr="00FB5623" w:rsidRDefault="00110DDE" w:rsidP="00BE4AC1">
      <w:pPr>
        <w:pStyle w:val="EPBody"/>
      </w:pPr>
      <w:r w:rsidRPr="00FB5623">
        <w:t>Ενιαίο νομοθετικό κείμενο</w:t>
      </w:r>
    </w:p>
    <w:p w:rsidR="00BE4AC1" w:rsidRPr="00FB5623" w:rsidRDefault="00BE4AC1" w:rsidP="00330FEA">
      <w:pPr>
        <w:pStyle w:val="LineBottom"/>
      </w:pPr>
    </w:p>
    <w:p w:rsidR="00D06995" w:rsidRPr="00FB5623" w:rsidRDefault="00FB5623" w:rsidP="00D06995">
      <w:pPr>
        <w:pStyle w:val="CoverReference"/>
      </w:pPr>
      <w:r w:rsidRPr="00FB5623">
        <w:t>EP-PE_TC1-COD(2020)0379</w:t>
      </w:r>
    </w:p>
    <w:p w:rsidR="00D06995" w:rsidRPr="00FB5623" w:rsidRDefault="00FB5623" w:rsidP="00D06995">
      <w:pPr>
        <w:pStyle w:val="CoverDate"/>
      </w:pPr>
      <w:r w:rsidRPr="00FB5623">
        <w:rPr>
          <w:rStyle w:val="HideTWBInt"/>
        </w:rPr>
        <w:t>{11/03/2021}</w:t>
      </w:r>
      <w:r w:rsidRPr="00FB5623">
        <w:t>11.3.2021</w:t>
      </w:r>
    </w:p>
    <w:p w:rsidR="00BE4AC1" w:rsidRPr="00FB5623" w:rsidRDefault="00FB5623" w:rsidP="00CC358E">
      <w:pPr>
        <w:pStyle w:val="CoverDocType"/>
      </w:pPr>
      <w:r w:rsidRPr="00FB5623">
        <w:t>***I</w:t>
      </w:r>
    </w:p>
    <w:p w:rsidR="00BE4AC1" w:rsidRPr="00FB5623" w:rsidRDefault="00110DDE" w:rsidP="00BE0112">
      <w:pPr>
        <w:pStyle w:val="CoverDocType24a"/>
      </w:pPr>
      <w:r w:rsidRPr="00FB5623">
        <w:t>ΘΕΣΗ ΤΟΥ ΕΥΡΩΠΑΪΚΟΥ ΚΟΙΝΟΒΟΥΛΙΟΥ</w:t>
      </w:r>
    </w:p>
    <w:p w:rsidR="0096592A" w:rsidRPr="00FB5623" w:rsidRDefault="00FB5623" w:rsidP="00BE0112">
      <w:pPr>
        <w:pStyle w:val="CoverNormal"/>
      </w:pPr>
      <w:r w:rsidRPr="00FB5623">
        <w:t>που καθορίσ</w:t>
      </w:r>
      <w:r>
        <w:t>τ</w:t>
      </w:r>
      <w:r w:rsidRPr="00FB5623">
        <w:t>ηκε σε πρώτη ανάγνωση στις 11 Μαρτίου 2021 εν όψει της έγκρισης απόφασης (ΕΕ) 2021/... του Ευρωπαϊκού Κοινοβουλίου και του Συμβουλίου για την τροποποίηση των αποφάσεων 2003/17/ΕΚ και 2005/834/ΕΚ του Συμβουλίου όσον αφορά την ισοδυναμία των καλλιεργητικών ελέγχων και την ισοδυναμία των ελέγχων των πρακτικών για τις διατηρητέες ποικιλίες καλλιεργούμενων φυτικών ειδών που διεξάγονται στο Ηνωμένο Βασίλειο</w:t>
      </w:r>
    </w:p>
    <w:p w:rsidR="00BE4AC1" w:rsidRPr="00FB5623" w:rsidRDefault="00BE4AC1" w:rsidP="00BE0112">
      <w:pPr>
        <w:pStyle w:val="CoverNormal"/>
      </w:pPr>
      <w:r w:rsidRPr="00FB5623">
        <w:t>(</w:t>
      </w:r>
      <w:r w:rsidR="00FB5623" w:rsidRPr="00FB5623">
        <w:t>EP-PE_TC1-COD(2020)0379</w:t>
      </w:r>
      <w:r w:rsidRPr="00FB5623">
        <w:t>)</w:t>
      </w:r>
    </w:p>
    <w:p w:rsidR="001A7617" w:rsidRPr="00FB5623" w:rsidRDefault="001A7617" w:rsidP="00BE0112">
      <w:pPr>
        <w:pStyle w:val="CoverNormal"/>
      </w:pPr>
    </w:p>
    <w:p w:rsidR="00BE0112" w:rsidRPr="00FB5623" w:rsidRDefault="00BE0112" w:rsidP="009844B0"/>
    <w:p w:rsidR="00BE0112" w:rsidRPr="00FB5623" w:rsidRDefault="00BE0112" w:rsidP="009844B0">
      <w:pPr>
        <w:sectPr w:rsidR="00BE0112" w:rsidRPr="00FB5623" w:rsidSect="00FB5623">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FB5623" w:rsidRDefault="00110DDE" w:rsidP="008D715A">
      <w:pPr>
        <w:pStyle w:val="HeadingCenter24a"/>
      </w:pPr>
      <w:r w:rsidRPr="00FB5623">
        <w:lastRenderedPageBreak/>
        <w:t>ΘΕΣΗ ΤΟΥ ΕΥΡΩΠΑΪΚΟΥ ΚΟΙΝΟΒΟΥΛΙΟΥ</w:t>
      </w:r>
    </w:p>
    <w:p w:rsidR="0032447B" w:rsidRPr="00FB5623" w:rsidRDefault="00FB5623" w:rsidP="008D715A">
      <w:pPr>
        <w:pStyle w:val="HeadingCenter24a"/>
      </w:pPr>
      <w:r w:rsidRPr="00FB5623">
        <w:t>που καθορίσ</w:t>
      </w:r>
      <w:r>
        <w:t>τ</w:t>
      </w:r>
      <w:r w:rsidRPr="00FB5623">
        <w:t xml:space="preserve">ηκε σε πρώτη ανάγνωση στις 11 Μαρτίου 2021 </w:t>
      </w:r>
    </w:p>
    <w:p w:rsidR="00523372" w:rsidRPr="00FB5623" w:rsidRDefault="00FB5623" w:rsidP="008D715A">
      <w:pPr>
        <w:pStyle w:val="HeadingCenter24a"/>
      </w:pPr>
      <w:r w:rsidRPr="00FB5623">
        <w:t xml:space="preserve">εν όψει της έγκρισης απόφασης (ΕΕ) 2021/... του Ευρωπαϊκού Κοινοβουλίου και του Συμβουλίου </w:t>
      </w:r>
      <w:r w:rsidRPr="00FB5623">
        <w:rPr>
          <w:rFonts w:eastAsia="Calibri"/>
          <w:szCs w:val="22"/>
          <w:lang w:eastAsia="en-US"/>
        </w:rPr>
        <w:t>για την τροποποίηση των αποφάσεων 2003/17/ΕΚ και 2005/834/ΕΚ του Συμβουλίου όσον αφορά την ισοδυναμία των καλλιεργητικών ελέγχων και την ισοδυναμία των ελέγχων των πρακτικών για τις διατηρητέες ποικιλίες καλλιεργούμενων φυτικών ειδών που διεξάγονται στο Ηνωμένο Βασίλειο</w:t>
      </w:r>
    </w:p>
    <w:p w:rsidR="00FB5623" w:rsidRPr="00FB5623" w:rsidRDefault="00FB5623" w:rsidP="00FB5623">
      <w:pPr>
        <w:widowControl/>
        <w:tabs>
          <w:tab w:val="left" w:pos="851"/>
          <w:tab w:val="left" w:pos="1418"/>
          <w:tab w:val="left" w:pos="1985"/>
          <w:tab w:val="left" w:pos="2552"/>
        </w:tabs>
        <w:spacing w:line="360" w:lineRule="auto"/>
        <w:jc w:val="center"/>
        <w:rPr>
          <w:rFonts w:eastAsia="Calibri"/>
          <w:szCs w:val="22"/>
          <w:lang w:eastAsia="en-US"/>
        </w:rPr>
      </w:pPr>
      <w:r w:rsidRPr="00FB5623">
        <w:rPr>
          <w:rFonts w:eastAsia="Calibri"/>
          <w:szCs w:val="22"/>
          <w:lang w:eastAsia="en-US"/>
        </w:rPr>
        <w:t>(Κείμενο που παρουσιάζει ενδιαφέρον για τον ΕΟΧ)</w:t>
      </w:r>
    </w:p>
    <w:p w:rsidR="00FB5623" w:rsidRPr="00FB5623" w:rsidRDefault="00FB5623" w:rsidP="00FB5623">
      <w:pPr>
        <w:keepNext/>
        <w:widowControl/>
        <w:spacing w:before="600" w:after="120" w:line="360" w:lineRule="auto"/>
        <w:rPr>
          <w:rFonts w:eastAsia="Calibri"/>
          <w:szCs w:val="22"/>
          <w:lang w:eastAsia="en-US"/>
        </w:rPr>
      </w:pPr>
      <w:r w:rsidRPr="00FB5623">
        <w:rPr>
          <w:rFonts w:eastAsia="Calibri"/>
          <w:szCs w:val="22"/>
          <w:lang w:eastAsia="en-US"/>
        </w:rPr>
        <w:t>ΤΟ ΕΥΡΩΠΑΪΚΟ ΚΟΙΝΟΒΟΥΛΙΟ ΚΑΙ ΤΟ ΣΥΜΒΟΥΛΙΟ ΤΗΣ ΕΥΡΩΠΑΪΚΗΣ ΕΝΩΣΗΣ,</w:t>
      </w:r>
    </w:p>
    <w:p w:rsidR="00FB5623" w:rsidRPr="00FB5623" w:rsidRDefault="00FB5623" w:rsidP="00FB5623">
      <w:pPr>
        <w:widowControl/>
        <w:spacing w:before="120" w:after="120" w:line="360" w:lineRule="auto"/>
        <w:rPr>
          <w:rFonts w:eastAsia="Calibri"/>
          <w:lang w:eastAsia="en-US"/>
        </w:rPr>
      </w:pPr>
      <w:r w:rsidRPr="00FB5623">
        <w:rPr>
          <w:rFonts w:eastAsia="Calibri"/>
          <w:szCs w:val="22"/>
          <w:lang w:eastAsia="en-US"/>
        </w:rPr>
        <w:t>Έχοντας υπόψη τη Συνθήκη για τη λειτουργία της Ευρωπαϊκής Ένωσης και ιδίως το άρθρο 43 παράγραφος 2,</w:t>
      </w:r>
    </w:p>
    <w:p w:rsidR="00FB5623" w:rsidRPr="00FB5623" w:rsidRDefault="00FB5623" w:rsidP="00FB5623">
      <w:pPr>
        <w:widowControl/>
        <w:spacing w:before="120" w:after="120" w:line="360" w:lineRule="auto"/>
        <w:rPr>
          <w:rFonts w:eastAsia="Calibri"/>
          <w:szCs w:val="22"/>
          <w:lang w:eastAsia="en-US"/>
        </w:rPr>
      </w:pPr>
      <w:r w:rsidRPr="00FB5623">
        <w:rPr>
          <w:rFonts w:eastAsia="Calibri"/>
          <w:szCs w:val="22"/>
          <w:lang w:eastAsia="en-US"/>
        </w:rPr>
        <w:t>Έχοντας υπόψη την πρόταση της Ευρωπαϊκής Επιτροπής,</w:t>
      </w:r>
    </w:p>
    <w:p w:rsidR="00FB5623" w:rsidRPr="00FB5623" w:rsidRDefault="00FB5623" w:rsidP="00FB5623">
      <w:pPr>
        <w:widowControl/>
        <w:spacing w:before="120" w:after="120" w:line="360" w:lineRule="auto"/>
        <w:rPr>
          <w:rFonts w:eastAsia="Calibri"/>
          <w:szCs w:val="22"/>
          <w:lang w:eastAsia="en-US"/>
        </w:rPr>
      </w:pPr>
      <w:r w:rsidRPr="00FB5623">
        <w:rPr>
          <w:rFonts w:eastAsia="Calibri"/>
          <w:szCs w:val="22"/>
          <w:lang w:eastAsia="en-US"/>
        </w:rPr>
        <w:t>Κατόπιν διαβίβασης του σχεδίου νομοθετικής πράξης στα εθνικά κοινοβούλια,</w:t>
      </w:r>
    </w:p>
    <w:p w:rsidR="00FB5623" w:rsidRPr="00FB5623" w:rsidRDefault="00FB5623" w:rsidP="00FB5623">
      <w:pPr>
        <w:widowControl/>
        <w:spacing w:before="120" w:after="120" w:line="360" w:lineRule="auto"/>
        <w:rPr>
          <w:rFonts w:eastAsia="Calibri"/>
          <w:szCs w:val="22"/>
          <w:lang w:eastAsia="en-US"/>
        </w:rPr>
      </w:pPr>
      <w:r w:rsidRPr="00FB5623">
        <w:rPr>
          <w:rFonts w:eastAsia="Calibri"/>
          <w:szCs w:val="22"/>
          <w:lang w:eastAsia="en-US"/>
        </w:rPr>
        <w:t>Έχοντας υπόψη τη γνώμη της Ευρωπαϊκής Οικονομικής και Κοινωνικής Επιτροπής</w:t>
      </w:r>
      <w:r w:rsidRPr="00FB5623">
        <w:rPr>
          <w:rFonts w:eastAsia="Calibri"/>
          <w:szCs w:val="22"/>
          <w:vertAlign w:val="superscript"/>
          <w:lang w:eastAsia="en-US"/>
        </w:rPr>
        <w:footnoteReference w:id="1"/>
      </w:r>
      <w:r w:rsidRPr="00FB5623">
        <w:rPr>
          <w:rFonts w:eastAsia="Calibri"/>
          <w:szCs w:val="22"/>
          <w:lang w:eastAsia="en-US"/>
        </w:rPr>
        <w:t>,</w:t>
      </w:r>
    </w:p>
    <w:p w:rsidR="00FB5623" w:rsidRPr="00FB5623" w:rsidRDefault="00FB5623" w:rsidP="00FB5623">
      <w:pPr>
        <w:widowControl/>
        <w:spacing w:before="120" w:after="120" w:line="360" w:lineRule="auto"/>
        <w:rPr>
          <w:rFonts w:eastAsia="Calibri"/>
          <w:szCs w:val="22"/>
          <w:lang w:eastAsia="en-US"/>
        </w:rPr>
      </w:pPr>
      <w:r w:rsidRPr="00FB5623">
        <w:rPr>
          <w:rFonts w:eastAsia="Calibri"/>
          <w:szCs w:val="22"/>
          <w:lang w:eastAsia="en-US"/>
        </w:rPr>
        <w:t>Αποφασίζοντας σύμφωνα με τη συνήθη νομοθετική διαδικασία</w:t>
      </w:r>
      <w:r w:rsidRPr="00FB5623">
        <w:rPr>
          <w:rFonts w:eastAsia="Calibri"/>
          <w:szCs w:val="22"/>
          <w:vertAlign w:val="superscript"/>
          <w:lang w:eastAsia="en-US"/>
        </w:rPr>
        <w:footnoteReference w:id="2"/>
      </w:r>
      <w:r w:rsidRPr="00FB5623">
        <w:rPr>
          <w:rFonts w:eastAsia="Calibri"/>
          <w:szCs w:val="22"/>
          <w:lang w:eastAsia="en-US"/>
        </w:rPr>
        <w:t>,</w:t>
      </w:r>
    </w:p>
    <w:p w:rsidR="00FB5623" w:rsidRPr="00FB5623" w:rsidRDefault="00FB5623" w:rsidP="00FB5623">
      <w:pPr>
        <w:widowControl/>
        <w:rPr>
          <w:rFonts w:eastAsia="Calibri"/>
          <w:szCs w:val="22"/>
          <w:lang w:eastAsia="en-US"/>
        </w:rPr>
      </w:pPr>
      <w:r w:rsidRPr="00FB5623">
        <w:rPr>
          <w:rFonts w:eastAsia="Calibri"/>
          <w:szCs w:val="22"/>
          <w:lang w:eastAsia="en-US"/>
        </w:rPr>
        <w:br w:type="page"/>
      </w:r>
    </w:p>
    <w:p w:rsidR="00FB5623" w:rsidRPr="00FB5623" w:rsidRDefault="00FB5623" w:rsidP="00FB5623">
      <w:pPr>
        <w:widowControl/>
        <w:spacing w:before="120" w:after="120" w:line="360" w:lineRule="auto"/>
        <w:rPr>
          <w:rFonts w:eastAsia="Calibri"/>
          <w:szCs w:val="22"/>
          <w:lang w:eastAsia="en-US"/>
        </w:rPr>
      </w:pPr>
      <w:r w:rsidRPr="00FB5623">
        <w:rPr>
          <w:rFonts w:eastAsia="Calibri"/>
          <w:szCs w:val="22"/>
          <w:lang w:eastAsia="en-US"/>
        </w:rPr>
        <w:t>Εκτιμώντας τα ακόλουθα:</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(1)</w:t>
      </w:r>
      <w:r w:rsidRPr="00FB5623">
        <w:rPr>
          <w:rFonts w:eastAsia="Calibri"/>
          <w:szCs w:val="22"/>
          <w:lang w:eastAsia="en-US"/>
        </w:rPr>
        <w:tab/>
        <w:t>Η απόφαση 2003/17/ΕΚ του Συμβουλίου</w:t>
      </w:r>
      <w:r w:rsidRPr="00FB5623">
        <w:rPr>
          <w:rFonts w:eastAsia="Calibri"/>
          <w:szCs w:val="22"/>
          <w:vertAlign w:val="superscript"/>
          <w:lang w:eastAsia="en-US"/>
        </w:rPr>
        <w:footnoteReference w:id="3"/>
      </w:r>
      <w:r w:rsidRPr="00FB5623">
        <w:rPr>
          <w:rFonts w:eastAsia="Calibri"/>
          <w:szCs w:val="22"/>
          <w:lang w:eastAsia="en-US"/>
        </w:rPr>
        <w:t xml:space="preserve"> προβλέπει ότι, υπό ορισμένες προϋποθέσεις, οι καλλιεργητικοί έλεγχοι που διενεργούνται σε ορισμένες σποροπαραγωγικές καλλιέργειες στις τρίτες χώρες που απαριθμούνται στο παράρτημα Ι της εν λόγω απόφασης πρέπει να θεωρούνται ισοδύναμοι προς τους καλλιεργητικούς ελέγχους που διενεργούνται σύμφωνα με το δίκαιο της Ένωσης και ότι, υπό ορισμένες προϋποθέσεις, οι σπόροι προς σπορά ορισμένων ειδών που παράγονται στις εν λόγω τρίτες χώρες θεωρούνται ισοδύναμοι με τους σπόρους προς σπορά που παράγονται σύμφωνα με το δίκαιο της Ένωσης. </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(2)</w:t>
      </w:r>
      <w:r w:rsidRPr="00FB5623">
        <w:rPr>
          <w:rFonts w:eastAsia="Calibri"/>
          <w:szCs w:val="22"/>
          <w:lang w:eastAsia="en-US"/>
        </w:rPr>
        <w:tab/>
        <w:t>H απόφαση 2005/834/ΕΚ του Συμβουλίου</w:t>
      </w:r>
      <w:r w:rsidRPr="00FB5623">
        <w:rPr>
          <w:rFonts w:eastAsia="Calibri"/>
          <w:szCs w:val="22"/>
          <w:vertAlign w:val="superscript"/>
          <w:lang w:eastAsia="en-US"/>
        </w:rPr>
        <w:footnoteReference w:id="4"/>
      </w:r>
      <w:r w:rsidRPr="00FB5623">
        <w:rPr>
          <w:rFonts w:eastAsia="Calibri"/>
          <w:szCs w:val="22"/>
          <w:lang w:eastAsia="en-US"/>
        </w:rPr>
        <w:t xml:space="preserve"> θεσπίζει κανόνες σχετικά με την ισοδυναμία των ελέγχων των πρακτικών για τη διατήρηση των ποικιλιών που διεξάγονται σε ορισμένες τρίτες χώρες. Ορίζει ότι οι επίσημοι έλεγχοι των πρακτικών για τη διατήρηση των ποικιλιών, οι οποίοι διεξάγονται στις εν λόγω τρίτες χώρες από τις αρχές που απαριθμούνται στο παράρτημα της εν λόγω απόφασης, για τα είδη που καλύπτονται από τις οδηγίες που αναφέρονται για κάθε μία από τις εν λόγω τρίτες χώρες, παρέχουν τις ίδιες εγγυήσεις με αυτούς οι οποίοι διεξάγονται από τα κράτη μέλη.</w:t>
      </w:r>
    </w:p>
    <w:p w:rsidR="00FB5623" w:rsidRPr="00FB5623" w:rsidRDefault="00FB5623" w:rsidP="00FB5623">
      <w:pPr>
        <w:widowControl/>
        <w:ind w:left="851" w:hanging="851"/>
        <w:rPr>
          <w:rFonts w:eastAsia="Calibri"/>
          <w:szCs w:val="22"/>
          <w:lang w:eastAsia="en-US"/>
        </w:rPr>
      </w:pPr>
      <w:r w:rsidRPr="00FB5623">
        <w:rPr>
          <w:rFonts w:eastAsia="Calibri"/>
          <w:szCs w:val="22"/>
          <w:lang w:eastAsia="en-US"/>
        </w:rPr>
        <w:br w:type="page"/>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(3)</w:t>
      </w:r>
      <w:r w:rsidRPr="00FB5623">
        <w:rPr>
          <w:rFonts w:eastAsia="Calibri"/>
          <w:szCs w:val="22"/>
          <w:lang w:eastAsia="en-US"/>
        </w:rPr>
        <w:tab/>
        <w:t>Το Ηνωμένο Βασίλειο έχει μεταφέρει στο εθνικό του δίκαιο και εφαρμόσει αποτελεσματικά τις οδηγίες 66/401/ΕΟΚ</w:t>
      </w:r>
      <w:r w:rsidRPr="00FB5623">
        <w:rPr>
          <w:rFonts w:eastAsia="Calibri"/>
          <w:szCs w:val="22"/>
          <w:vertAlign w:val="superscript"/>
          <w:lang w:eastAsia="en-US"/>
        </w:rPr>
        <w:footnoteReference w:id="5"/>
      </w:r>
      <w:r w:rsidRPr="00FB5623">
        <w:rPr>
          <w:rFonts w:eastAsia="Calibri"/>
          <w:szCs w:val="22"/>
          <w:lang w:eastAsia="en-US"/>
        </w:rPr>
        <w:t>, 66/402/ΕΟΚ</w:t>
      </w:r>
      <w:r w:rsidRPr="00FB5623">
        <w:rPr>
          <w:rFonts w:eastAsia="Calibri"/>
          <w:szCs w:val="22"/>
          <w:vertAlign w:val="superscript"/>
          <w:lang w:eastAsia="en-US"/>
        </w:rPr>
        <w:footnoteReference w:id="6"/>
      </w:r>
      <w:r w:rsidRPr="00FB5623">
        <w:rPr>
          <w:rFonts w:eastAsia="Calibri"/>
          <w:szCs w:val="22"/>
          <w:lang w:eastAsia="en-US"/>
        </w:rPr>
        <w:t>, 2002/53/ΕΚ</w:t>
      </w:r>
      <w:r w:rsidRPr="00FB5623">
        <w:rPr>
          <w:rFonts w:eastAsia="Calibri"/>
          <w:szCs w:val="22"/>
          <w:vertAlign w:val="superscript"/>
          <w:lang w:eastAsia="en-US"/>
        </w:rPr>
        <w:footnoteReference w:id="7"/>
      </w:r>
      <w:r w:rsidRPr="00FB5623">
        <w:rPr>
          <w:rFonts w:eastAsia="Calibri"/>
          <w:szCs w:val="22"/>
          <w:lang w:eastAsia="en-US"/>
        </w:rPr>
        <w:t>, 2002/54/ΕΚ</w:t>
      </w:r>
      <w:r w:rsidRPr="00FB5623">
        <w:rPr>
          <w:rFonts w:eastAsia="Calibri"/>
          <w:szCs w:val="22"/>
          <w:vertAlign w:val="superscript"/>
          <w:lang w:eastAsia="en-US"/>
        </w:rPr>
        <w:footnoteReference w:id="8"/>
      </w:r>
      <w:r w:rsidRPr="00FB5623">
        <w:rPr>
          <w:rFonts w:eastAsia="Calibri"/>
          <w:szCs w:val="22"/>
          <w:lang w:eastAsia="en-US"/>
        </w:rPr>
        <w:t>, 2002/55/ΕΚ</w:t>
      </w:r>
      <w:r w:rsidRPr="00FB5623">
        <w:rPr>
          <w:rFonts w:eastAsia="Calibri"/>
          <w:szCs w:val="22"/>
          <w:vertAlign w:val="superscript"/>
          <w:lang w:eastAsia="en-US"/>
        </w:rPr>
        <w:footnoteReference w:id="9"/>
      </w:r>
      <w:r w:rsidRPr="00FB5623">
        <w:rPr>
          <w:rFonts w:eastAsia="Calibri"/>
          <w:szCs w:val="22"/>
          <w:lang w:eastAsia="en-US"/>
        </w:rPr>
        <w:t xml:space="preserve"> και 2002/57/ΕΚ</w:t>
      </w:r>
      <w:r w:rsidRPr="00FB5623">
        <w:rPr>
          <w:rFonts w:eastAsia="Calibri"/>
          <w:szCs w:val="22"/>
          <w:vertAlign w:val="superscript"/>
          <w:lang w:eastAsia="en-US"/>
        </w:rPr>
        <w:footnoteReference w:id="10"/>
      </w:r>
      <w:r w:rsidRPr="00FB5623">
        <w:rPr>
          <w:rFonts w:eastAsia="Calibri"/>
          <w:szCs w:val="22"/>
          <w:lang w:eastAsia="en-US"/>
        </w:rPr>
        <w:t xml:space="preserve"> του Συμβουλίου, καθώς και τις εκτελεστικέςπράξεις που</w:t>
      </w:r>
      <w:r w:rsidRPr="00FB5623">
        <w:rPr>
          <w:rFonts w:eastAsia="Calibri"/>
          <w:lang w:eastAsia="en-US"/>
        </w:rPr>
        <w:t xml:space="preserve"> έχουν εγκριθεί δυνάμει των εν λόγω οδηγιών.</w:t>
      </w:r>
      <w:r w:rsidRPr="00FB5623">
        <w:rPr>
          <w:rFonts w:eastAsia="Calibri"/>
          <w:szCs w:val="22"/>
          <w:lang w:eastAsia="en-US"/>
        </w:rPr>
        <w:t xml:space="preserve"> Οι εν λόγω εκτελεστικές πράξεις καθορίζουν τους κανόνες βάσει των οποίων οι εν λόγω οδηγίες αναγνωρίζουν τη σχετική ισοδυναμία.</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(4)</w:t>
      </w:r>
      <w:r w:rsidRPr="00FB5623">
        <w:rPr>
          <w:rFonts w:eastAsia="Calibri"/>
          <w:szCs w:val="22"/>
          <w:lang w:eastAsia="en-US"/>
        </w:rPr>
        <w:tab/>
        <w:t>Το δίκαιο της Ένωσης, συμπεριλαμβανομένων των αποφάσεων 2003/17/ΕΚ και 2005/834/ΕΚ, εφαρμόστηκε για το Ηνωμένο Βασίλειο και εντός αυτού κατά τη διάρκεια της μεταβατικής περιόδου που έληξε στις 31 Δεκεμβρίου 2020, σύμφωνα με τη 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w:t>
      </w:r>
      <w:r w:rsidRPr="00FB5623">
        <w:rPr>
          <w:rFonts w:eastAsia="Calibri"/>
          <w:szCs w:val="22"/>
          <w:vertAlign w:val="superscript"/>
          <w:lang w:eastAsia="en-US"/>
        </w:rPr>
        <w:footnoteReference w:id="11"/>
      </w:r>
      <w:r w:rsidRPr="00FB5623">
        <w:rPr>
          <w:rFonts w:eastAsia="Calibri"/>
          <w:szCs w:val="22"/>
          <w:lang w:eastAsia="en-US"/>
        </w:rPr>
        <w:t xml:space="preserve"> («συμφωνία αποχώρησης») και ιδίως το άρθρο 126 και το άρθρο 127 παράγραφος 1.</w:t>
      </w:r>
    </w:p>
    <w:p w:rsidR="00FB5623" w:rsidRDefault="00FB5623">
      <w:pPr>
        <w:widowControl/>
        <w:rPr>
          <w:rFonts w:eastAsia="Calibri"/>
          <w:szCs w:val="22"/>
          <w:lang w:eastAsia="en-US"/>
        </w:rPr>
      </w:pPr>
      <w:r>
        <w:rPr>
          <w:rFonts w:eastAsia="Calibri"/>
          <w:szCs w:val="22"/>
          <w:lang w:eastAsia="en-US"/>
        </w:rPr>
        <w:br w:type="page"/>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(5)</w:t>
      </w:r>
      <w:r w:rsidRPr="00FB5623">
        <w:rPr>
          <w:rFonts w:eastAsia="Calibri"/>
          <w:szCs w:val="22"/>
          <w:lang w:eastAsia="en-US"/>
        </w:rPr>
        <w:tab/>
        <w:t xml:space="preserve">Ενόψει της λήξης της μεταβατικής περιόδου που προβλέπεται στη συμφωνία αποχώρησης, το Ηνωμένο Βασίλειο έχει υποβάλει αίτημα στην Επιτροπή για την αναγνώριση της ισοδυναμίας, από την 1η Ιανουαρίου 2021, των σπόρων προς σπορά κτηνοτροφικών φυτών, των σπόρων δημητριακών προς σπορά, των σπόρων τεύτλων προς σπορά, των </w:t>
      </w:r>
      <w:r w:rsidRPr="00FB5623">
        <w:rPr>
          <w:rFonts w:eastAsia="Calibri"/>
          <w:lang w:eastAsia="en-US"/>
        </w:rPr>
        <w:t>σπόρων προς σπορά κηπευτικών</w:t>
      </w:r>
      <w:r w:rsidRPr="00FB5623">
        <w:rPr>
          <w:rFonts w:eastAsia="Calibri"/>
          <w:szCs w:val="22"/>
          <w:lang w:eastAsia="en-US"/>
        </w:rPr>
        <w:t xml:space="preserve"> και των σπόρων προς σπορά </w:t>
      </w:r>
      <w:r w:rsidRPr="00FB5623">
        <w:rPr>
          <w:rFonts w:eastAsia="Calibri"/>
          <w:lang w:eastAsia="en-US"/>
        </w:rPr>
        <w:t xml:space="preserve">των ελαιούχων και κλωστικών φυτών </w:t>
      </w:r>
      <w:r w:rsidRPr="00FB5623">
        <w:rPr>
          <w:rFonts w:eastAsia="Calibri"/>
          <w:szCs w:val="22"/>
          <w:lang w:eastAsia="en-US"/>
        </w:rPr>
        <w:t xml:space="preserve">που παράγονται στο Ηνωμένο Βασίλειο, με τους σπόρους προς σπορά κτηνοτροφικών φυτών, τους σπόρους δημητριακών προς σπορά, τους σπόρους τεύτλων προς σπορά, τους σπόρους </w:t>
      </w:r>
      <w:r w:rsidRPr="00FB5623">
        <w:rPr>
          <w:rFonts w:eastAsia="Calibri"/>
          <w:lang w:eastAsia="en-US"/>
        </w:rPr>
        <w:t>προς σπορά κηπευτικών</w:t>
      </w:r>
      <w:r w:rsidRPr="00FB5623">
        <w:rPr>
          <w:rFonts w:eastAsia="Calibri"/>
          <w:szCs w:val="22"/>
          <w:lang w:eastAsia="en-US"/>
        </w:rPr>
        <w:t xml:space="preserve"> και τους σπόρους προς σπορά </w:t>
      </w:r>
      <w:r w:rsidRPr="00FB5623">
        <w:rPr>
          <w:rFonts w:eastAsia="Calibri"/>
          <w:lang w:eastAsia="en-US"/>
        </w:rPr>
        <w:t>των ελαιούχων και κλωστικών φυτών</w:t>
      </w:r>
      <w:r w:rsidRPr="00FB5623">
        <w:rPr>
          <w:rFonts w:eastAsia="Calibri"/>
          <w:szCs w:val="22"/>
          <w:lang w:eastAsia="en-US"/>
        </w:rPr>
        <w:t xml:space="preserve"> που παράγονται στην Ένωση και σύμφωνα με τις οδηγίες 66/401/ΕΟΚ, 66/402/ΕΟΚ, 2002/54/ΕΚ, 2002/55/ΕΚ και 2002/57/ΕΚ.</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(6)</w:t>
      </w:r>
      <w:r w:rsidRPr="00FB5623">
        <w:rPr>
          <w:rFonts w:eastAsia="Calibri"/>
          <w:szCs w:val="22"/>
          <w:lang w:eastAsia="en-US"/>
        </w:rPr>
        <w:tab/>
        <w:t xml:space="preserve">Το Ηνωμένο Βασίλειο ζήτησε επίσης την αναγνώριση της ισοδυναμίας όσον αφορά τους ελέγχους των πρακτικών για τη διατήρηση των ποικιλιών που διεξάγονται στο Ηνωμένο Βασίλειο σύμφωνα με τις οδηγίες </w:t>
      </w:r>
      <w:r w:rsidRPr="00FB5623">
        <w:rPr>
          <w:rFonts w:eastAsia="Calibri"/>
          <w:lang w:eastAsia="en-US"/>
        </w:rPr>
        <w:t>66/401/ΕΟΚ, 66/402/ΕΟΚ, 2002/54/ΕΚ, 2002/55/ΕΚ και 2002/57/ΕΚ</w:t>
      </w:r>
      <w:r w:rsidRPr="00FB5623">
        <w:rPr>
          <w:rFonts w:eastAsia="Calibri"/>
          <w:szCs w:val="22"/>
          <w:lang w:eastAsia="en-US"/>
        </w:rPr>
        <w:t>, καθώς και με την οδηγία 2002/53/ΕΚ.</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(7)</w:t>
      </w:r>
      <w:r w:rsidRPr="00FB5623">
        <w:rPr>
          <w:rFonts w:eastAsia="Calibri"/>
          <w:szCs w:val="22"/>
          <w:lang w:eastAsia="en-US"/>
        </w:rPr>
        <w:tab/>
        <w:t xml:space="preserve">Το Ηνωμένο Βασίλειο ενημέρωσε την Επιτροπή ότι η νομοθεσία του, βάσει της οποίας οι οδηγίες </w:t>
      </w:r>
      <w:r w:rsidRPr="00FB5623">
        <w:rPr>
          <w:rFonts w:eastAsia="Calibri"/>
          <w:lang w:eastAsia="en-US"/>
        </w:rPr>
        <w:t xml:space="preserve">66/401/ΕΟΚ, 66/402/ΕΟΚ, 2002/53/ΕΚ, 2002/54/ΕΚ, 2002/55/ΕΚ και 2002/57/ΕΚ </w:t>
      </w:r>
      <w:r w:rsidRPr="00FB5623">
        <w:rPr>
          <w:rFonts w:eastAsia="Calibri"/>
          <w:szCs w:val="22"/>
          <w:lang w:eastAsia="en-US"/>
        </w:rPr>
        <w:t xml:space="preserve">μεταφέρθηκαν στο εθνικό του δίκαιο, δεν θα αλλάξει και θα συνεχίσει να εφαρμόζεται από την 1η Ιανουαρίου 2021. </w:t>
      </w:r>
    </w:p>
    <w:p w:rsidR="00FB5623" w:rsidRDefault="00FB5623">
      <w:pPr>
        <w:widowControl/>
        <w:rPr>
          <w:rFonts w:eastAsia="Calibri"/>
          <w:szCs w:val="22"/>
          <w:lang w:eastAsia="en-US"/>
        </w:rPr>
      </w:pPr>
      <w:r>
        <w:rPr>
          <w:rFonts w:eastAsia="Calibri"/>
          <w:szCs w:val="22"/>
          <w:lang w:eastAsia="en-US"/>
        </w:rPr>
        <w:br w:type="page"/>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(8)</w:t>
      </w:r>
      <w:r w:rsidRPr="00FB5623">
        <w:rPr>
          <w:rFonts w:eastAsia="Calibri"/>
          <w:szCs w:val="22"/>
          <w:lang w:eastAsia="en-US"/>
        </w:rPr>
        <w:tab/>
        <w:t xml:space="preserve">Η Επιτροπή εξέτασε τη σχετική νομοθεσία του Ηνωμένου Βασιλείου και την ισοδυναμία της με τις απαιτήσεις της Ένωσης και κατέληξε στο συμπέρασμα ότι οι καλλιεργητικοί έλεγχοι των σποροπαραγωγικών καλλιεργειών διενεργούνται όπως ενδείκνυται και πληρούν τις προϋποθέσεις του παραρτήματος II της απόφασης 2003/17/ΕΚ και τις κατάλληλες απαιτήσεις των οδηγιών 66/401/ΕΟΚ, 66/402/ΕΟΚ, 2002/54/ΕΚ και 2002/57/ΕΚ. </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(9)</w:t>
      </w:r>
      <w:r w:rsidRPr="00FB5623">
        <w:rPr>
          <w:rFonts w:eastAsia="Calibri"/>
          <w:szCs w:val="22"/>
          <w:lang w:eastAsia="en-US"/>
        </w:rPr>
        <w:tab/>
        <w:t>Ως εκ τούτου, και προκειμένου να αποφευχθεί κάθε περιττή διαταραχή του εμπορίου μετά τη λήξη της μεταβατικής περιόδου, είναι σκόπιμο να αναγνωριστεί η ισοδυναμία των καλλιεργητικών ελέγχων που διενεργούνται στους εν λόγω σπόρους προς σπορά που παράγονται στο Ηνωμένο Βασίλειο και πιστοποιούνται επίσημα από τις αρχές του.</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(10)</w:t>
      </w:r>
      <w:r w:rsidRPr="00FB5623">
        <w:rPr>
          <w:rFonts w:eastAsia="Calibri"/>
          <w:szCs w:val="22"/>
          <w:lang w:eastAsia="en-US"/>
        </w:rPr>
        <w:tab/>
        <w:t>Η Επιτροπή εξέτασε τη σχετική νομοθεσία του Ηνωμένου Βασιλείου και την ισοδυναμία της με τις διατάξεις που αφορούν τις πρακτικές για τη διατήρηση των ποικιλιών σύμφωνα με τις οδηγίες 2002/53/ΕΚ και 2002/55/ΕΚ. Η Επιτροπή κατέληξε στο συμπέρασμα ότι οι έλεγχοι των πρακτικών για τη διατήρηση των εν λόγω ποικιλιών οι οποίοι διεξάγονται στο Ηνωμένο Βασίλειο παρέχουν τις ίδιες εγγυήσεις με τους ελέγχους που διεξάγονται στα κράτη μέλη.</w:t>
      </w:r>
    </w:p>
    <w:p w:rsidR="00FB5623" w:rsidRPr="00FB5623" w:rsidRDefault="00FB5623" w:rsidP="00FB5623">
      <w:pPr>
        <w:widowControl/>
        <w:ind w:left="851" w:hanging="851"/>
        <w:rPr>
          <w:rFonts w:eastAsia="Calibri"/>
          <w:szCs w:val="22"/>
          <w:lang w:eastAsia="en-US"/>
        </w:rPr>
      </w:pPr>
      <w:r w:rsidRPr="00FB5623">
        <w:rPr>
          <w:rFonts w:eastAsia="Calibri"/>
          <w:szCs w:val="22"/>
          <w:lang w:eastAsia="en-US"/>
        </w:rPr>
        <w:br w:type="page"/>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(11)</w:t>
      </w:r>
      <w:r w:rsidRPr="00FB5623">
        <w:rPr>
          <w:rFonts w:eastAsia="Calibri"/>
          <w:szCs w:val="22"/>
          <w:lang w:eastAsia="en-US"/>
        </w:rPr>
        <w:tab/>
        <w:t>Ως εκ τούτου, είναι σκόπιμο να αναγνωριστεί η ισοδυναμία των ελέγχων των πρακτικών για τη διατήρηση των ποικιλιών, όπως προβλέπονται στις οδηγίες 66/401/ΕΟΚ, 66/402/ΕΟΚ, 2002/53/ΕΚ, 2002/54/ΕΚ, 2002/55/ΕΚ και 2002/57/ΕΚ, που εκτελούνται στο Ηνωμένο Βασίλειο.</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(12)</w:t>
      </w:r>
      <w:r w:rsidRPr="00FB5623">
        <w:rPr>
          <w:rFonts w:eastAsia="Calibri"/>
          <w:szCs w:val="22"/>
          <w:lang w:eastAsia="en-US"/>
        </w:rPr>
        <w:tab/>
        <w:t>Ως εκ τούτου, το Ηνωμένο Βασίλειο θα πρέπει να συμπεριληφθεί στο παράρτημα I της απόφασης 2003/17/ΕΚ και στο παράρτημα της απόφασης 2005/834/ΕΚ, με την επιφύλαξη της εφαρμογής του ενωσιακού δικαίου για το Ηνωμένο Βασίλειο και εντός αυτού σε σχέση με τη Βόρεια Ιρλανδία σύμφωνα με το άρθρο 5 παράγραφος 4 του πρωτοκόλλου για τις Ιρλανδία/Βόρεια Ιρλανδία της συμφωνίας αποχώρησης, σε συνδυασμό με το παράρτημα 2 του εν λόγω πρωτοκόλλου.</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(13)</w:t>
      </w:r>
      <w:r w:rsidRPr="00FB5623">
        <w:rPr>
          <w:rFonts w:eastAsia="Calibri"/>
          <w:szCs w:val="22"/>
          <w:lang w:eastAsia="en-US"/>
        </w:rPr>
        <w:tab/>
        <w:t>Συνεπώς, οι αποφάσεις 2003/17/ΕΚ και 2005/834/ΕΚ θα πρέπει να τροποποιηθούν αναλόγως.</w:t>
      </w:r>
    </w:p>
    <w:p w:rsidR="00FB5623" w:rsidRPr="00FB5623" w:rsidRDefault="00FB5623" w:rsidP="00FB5623">
      <w:pPr>
        <w:widowControl/>
        <w:spacing w:before="120" w:after="120" w:line="360" w:lineRule="auto"/>
        <w:ind w:left="851" w:hanging="851"/>
        <w:rPr>
          <w:rFonts w:eastAsia="Calibri"/>
          <w:szCs w:val="22"/>
          <w:lang w:eastAsia="en-US"/>
        </w:rPr>
      </w:pPr>
      <w:r w:rsidRPr="00FB5623">
        <w:rPr>
          <w:rFonts w:eastAsia="Calibri"/>
          <w:szCs w:val="22"/>
          <w:lang w:eastAsia="en-US"/>
        </w:rPr>
        <w:t>(14)</w:t>
      </w:r>
      <w:r w:rsidRPr="00FB5623">
        <w:rPr>
          <w:rFonts w:eastAsia="Calibri"/>
          <w:szCs w:val="22"/>
          <w:lang w:eastAsia="en-US"/>
        </w:rPr>
        <w:tab/>
        <w:t>Δεδομένου ότι η μεταβατική περίοδος που προβλέπεται στη συμφωνία αποχώρησης έληξε στις 31 Δεκεμβρίου 2020, και προκειμένου να εξασφαλιστεί συνέχεια, η παρούσα απόφαση θα πρέπει να αρχίσει να ισχύει επειγόντως και να εφαρμοστεί, με αναδρομική ισχύ, από την 1η Ιανουαρίου 2021,</w:t>
      </w:r>
    </w:p>
    <w:p w:rsidR="00FB5623" w:rsidRPr="00FB5623" w:rsidRDefault="00FB5623" w:rsidP="00FB5623">
      <w:pPr>
        <w:keepNext/>
        <w:widowControl/>
        <w:spacing w:before="120" w:after="120" w:line="360" w:lineRule="auto"/>
        <w:rPr>
          <w:rFonts w:eastAsia="Calibri"/>
          <w:szCs w:val="22"/>
          <w:lang w:eastAsia="en-US"/>
        </w:rPr>
      </w:pPr>
      <w:r w:rsidRPr="00FB5623">
        <w:rPr>
          <w:rFonts w:eastAsia="Calibri"/>
          <w:szCs w:val="22"/>
          <w:lang w:eastAsia="en-US"/>
        </w:rPr>
        <w:t>ΕΞΕΔΩΣΑΝ ΤΗΝ ΠΑΡΟΥΣΑ ΑΠΟΦΑΣΗ:</w:t>
      </w:r>
    </w:p>
    <w:p w:rsidR="00FB5623" w:rsidRPr="00FB5623" w:rsidRDefault="00FB5623" w:rsidP="00FB5623">
      <w:pPr>
        <w:widowControl/>
        <w:rPr>
          <w:rFonts w:eastAsia="Calibri"/>
          <w:szCs w:val="22"/>
          <w:lang w:eastAsia="en-US"/>
        </w:rPr>
      </w:pPr>
      <w:r w:rsidRPr="00FB5623">
        <w:rPr>
          <w:rFonts w:eastAsia="Calibri"/>
          <w:szCs w:val="22"/>
          <w:lang w:eastAsia="en-US"/>
        </w:rPr>
        <w:br w:type="page"/>
      </w:r>
    </w:p>
    <w:p w:rsidR="00FB5623" w:rsidRPr="00FB5623" w:rsidRDefault="00FB5623" w:rsidP="00FB5623">
      <w:pPr>
        <w:keepNext/>
        <w:widowControl/>
        <w:spacing w:before="120" w:after="120" w:line="360" w:lineRule="auto"/>
        <w:jc w:val="center"/>
        <w:rPr>
          <w:rFonts w:eastAsia="Calibri"/>
          <w:szCs w:val="22"/>
          <w:lang w:eastAsia="en-US"/>
        </w:rPr>
      </w:pPr>
      <w:r w:rsidRPr="00FB5623">
        <w:rPr>
          <w:rFonts w:eastAsia="Calibri"/>
          <w:szCs w:val="22"/>
          <w:lang w:eastAsia="en-US"/>
        </w:rPr>
        <w:t>Άρθρο 1</w:t>
      </w:r>
      <w:r w:rsidRPr="00FB5623">
        <w:rPr>
          <w:rFonts w:eastAsia="Calibri"/>
          <w:szCs w:val="22"/>
          <w:lang w:eastAsia="en-US"/>
        </w:rPr>
        <w:br/>
        <w:t>Τροποποιήσεις των αποφάσεων 2003/17/ΕΚ και 2005/834/ΕΚ</w:t>
      </w:r>
    </w:p>
    <w:p w:rsidR="00FB5623" w:rsidRPr="00FB5623" w:rsidRDefault="00FB5623" w:rsidP="00FB5623">
      <w:pPr>
        <w:widowControl/>
        <w:spacing w:before="120" w:after="120" w:line="360" w:lineRule="auto"/>
        <w:ind w:left="850" w:hanging="850"/>
        <w:rPr>
          <w:rFonts w:eastAsia="Calibri"/>
          <w:szCs w:val="22"/>
          <w:lang w:eastAsia="en-US"/>
        </w:rPr>
      </w:pPr>
      <w:r w:rsidRPr="00FB5623">
        <w:rPr>
          <w:rFonts w:eastAsia="Calibri"/>
          <w:szCs w:val="22"/>
          <w:lang w:eastAsia="en-US"/>
        </w:rPr>
        <w:t>1.</w:t>
      </w:r>
      <w:r w:rsidRPr="00FB5623">
        <w:rPr>
          <w:rFonts w:eastAsia="Calibri"/>
          <w:szCs w:val="22"/>
          <w:lang w:eastAsia="en-US"/>
        </w:rPr>
        <w:tab/>
        <w:t xml:space="preserve">Το παράρτημα I της απόφασης 2003/17/ΕΚ τροποποιείται σύμφωνα με το σημείο 1 του παραρτήματος της παρούσας απόφασης. </w:t>
      </w:r>
    </w:p>
    <w:p w:rsidR="00FB5623" w:rsidRPr="00FB5623" w:rsidRDefault="00FB5623" w:rsidP="00FB5623">
      <w:pPr>
        <w:widowControl/>
        <w:spacing w:before="120" w:after="120" w:line="360" w:lineRule="auto"/>
        <w:ind w:left="850" w:hanging="850"/>
        <w:rPr>
          <w:rFonts w:eastAsia="Calibri"/>
          <w:szCs w:val="22"/>
          <w:lang w:eastAsia="en-US"/>
        </w:rPr>
      </w:pPr>
      <w:r w:rsidRPr="00FB5623">
        <w:rPr>
          <w:rFonts w:eastAsia="Calibri"/>
          <w:szCs w:val="22"/>
          <w:lang w:eastAsia="en-US"/>
        </w:rPr>
        <w:t>2.</w:t>
      </w:r>
      <w:r w:rsidRPr="00FB5623">
        <w:rPr>
          <w:rFonts w:eastAsia="Calibri"/>
          <w:szCs w:val="22"/>
          <w:lang w:eastAsia="en-US"/>
        </w:rPr>
        <w:tab/>
        <w:t>Το παράρτημα της απόφασης 2005/834/ΕΚ τροποποιείται σύμφωνα με το σημείο 2 του παραρτήματος της παρούσας απόφασης.</w:t>
      </w:r>
    </w:p>
    <w:p w:rsidR="00FB5623" w:rsidRPr="00FB5623" w:rsidRDefault="00FB5623" w:rsidP="00FB5623">
      <w:pPr>
        <w:keepNext/>
        <w:widowControl/>
        <w:spacing w:before="120" w:after="120" w:line="360" w:lineRule="auto"/>
        <w:jc w:val="center"/>
        <w:rPr>
          <w:rFonts w:eastAsia="Calibri"/>
          <w:i/>
          <w:szCs w:val="22"/>
          <w:lang w:eastAsia="en-US"/>
        </w:rPr>
      </w:pPr>
      <w:r w:rsidRPr="00FB5623">
        <w:rPr>
          <w:rFonts w:eastAsia="Calibri"/>
          <w:szCs w:val="22"/>
          <w:lang w:eastAsia="en-US"/>
        </w:rPr>
        <w:t>Άρθρο 2</w:t>
      </w:r>
      <w:r w:rsidRPr="00FB5623">
        <w:rPr>
          <w:rFonts w:eastAsia="Calibri"/>
          <w:szCs w:val="22"/>
          <w:lang w:eastAsia="en-US"/>
        </w:rPr>
        <w:br/>
        <w:t>Έναρξη ισχύος και ημερομηνία εφαρμογής</w:t>
      </w:r>
    </w:p>
    <w:p w:rsidR="00FB5623" w:rsidRPr="00FB5623" w:rsidRDefault="00FB5623" w:rsidP="00FB5623">
      <w:pPr>
        <w:widowControl/>
        <w:spacing w:before="120" w:after="120" w:line="360" w:lineRule="auto"/>
        <w:rPr>
          <w:rFonts w:eastAsia="Calibri"/>
          <w:szCs w:val="22"/>
          <w:lang w:eastAsia="en-US"/>
        </w:rPr>
      </w:pPr>
      <w:r w:rsidRPr="00FB5623">
        <w:rPr>
          <w:rFonts w:eastAsia="Calibri"/>
          <w:szCs w:val="22"/>
          <w:lang w:eastAsia="en-US"/>
        </w:rPr>
        <w:t xml:space="preserve">Η παρούσα απόφαση αρχίζει να ισχύει την ημέρα της δημοσίευσής της στην </w:t>
      </w:r>
      <w:r w:rsidRPr="00FB5623">
        <w:rPr>
          <w:rFonts w:eastAsia="Calibri"/>
          <w:i/>
          <w:szCs w:val="22"/>
          <w:lang w:eastAsia="en-US"/>
        </w:rPr>
        <w:t>Επίσημη Εφημερίδα της Ευρωπαϊκής Ένωσης</w:t>
      </w:r>
      <w:r w:rsidRPr="00FB5623">
        <w:rPr>
          <w:rFonts w:eastAsia="Calibri"/>
          <w:szCs w:val="22"/>
          <w:lang w:eastAsia="en-US"/>
        </w:rPr>
        <w:t>.</w:t>
      </w:r>
    </w:p>
    <w:p w:rsidR="00FB5623" w:rsidRPr="00FB5623" w:rsidRDefault="00FB5623" w:rsidP="00FB5623">
      <w:pPr>
        <w:keepNext/>
        <w:keepLines/>
        <w:widowControl/>
        <w:spacing w:before="120" w:after="120" w:line="360" w:lineRule="auto"/>
        <w:rPr>
          <w:rFonts w:eastAsia="Calibri"/>
          <w:szCs w:val="22"/>
          <w:lang w:eastAsia="en-US"/>
        </w:rPr>
      </w:pPr>
      <w:r w:rsidRPr="00FB5623">
        <w:rPr>
          <w:rFonts w:eastAsia="Calibri"/>
          <w:szCs w:val="22"/>
          <w:lang w:eastAsia="en-US"/>
        </w:rPr>
        <w:t xml:space="preserve">Εφαρμόζεται από την 1η Ιανουαρίου 2021. </w:t>
      </w:r>
    </w:p>
    <w:p w:rsidR="00FB5623" w:rsidRPr="00FB5623" w:rsidRDefault="00FB5623" w:rsidP="00FB5623">
      <w:pPr>
        <w:keepNext/>
        <w:widowControl/>
        <w:spacing w:before="120" w:line="360" w:lineRule="auto"/>
        <w:rPr>
          <w:rFonts w:eastAsia="Calibri"/>
          <w:szCs w:val="22"/>
          <w:lang w:eastAsia="en-US"/>
        </w:rPr>
      </w:pPr>
      <w:r w:rsidRPr="00FB5623">
        <w:rPr>
          <w:rFonts w:eastAsia="Calibri"/>
          <w:szCs w:val="22"/>
          <w:lang w:eastAsia="en-US"/>
        </w:rPr>
        <w:t>...,</w:t>
      </w:r>
    </w:p>
    <w:p w:rsidR="00FB5623" w:rsidRPr="00FB5623" w:rsidRDefault="00FB5623" w:rsidP="00FB5623">
      <w:pPr>
        <w:keepNext/>
        <w:widowControl/>
        <w:tabs>
          <w:tab w:val="left" w:pos="4252"/>
        </w:tabs>
        <w:spacing w:before="720" w:line="360" w:lineRule="auto"/>
        <w:rPr>
          <w:rFonts w:eastAsia="Calibri"/>
          <w:i/>
          <w:szCs w:val="22"/>
          <w:lang w:eastAsia="en-US"/>
        </w:rPr>
      </w:pPr>
      <w:r w:rsidRPr="00FB5623">
        <w:rPr>
          <w:rFonts w:eastAsia="Calibri"/>
          <w:i/>
          <w:szCs w:val="22"/>
          <w:lang w:eastAsia="en-US"/>
        </w:rPr>
        <w:t>Για το Ευρωπαϊκό Κοινοβούλιο</w:t>
      </w:r>
      <w:r w:rsidRPr="00FB5623">
        <w:rPr>
          <w:rFonts w:eastAsia="Calibri"/>
          <w:i/>
          <w:szCs w:val="22"/>
          <w:lang w:eastAsia="en-US"/>
        </w:rPr>
        <w:tab/>
        <w:t>Για το Συμβούλιο</w:t>
      </w:r>
    </w:p>
    <w:p w:rsidR="00FB5623" w:rsidRPr="00FB5623" w:rsidRDefault="00FB5623" w:rsidP="00FB5623">
      <w:pPr>
        <w:widowControl/>
        <w:tabs>
          <w:tab w:val="left" w:pos="4252"/>
        </w:tabs>
        <w:spacing w:line="360" w:lineRule="auto"/>
        <w:rPr>
          <w:rFonts w:eastAsia="Calibri"/>
          <w:i/>
          <w:szCs w:val="22"/>
          <w:lang w:eastAsia="en-US"/>
        </w:rPr>
      </w:pPr>
      <w:r w:rsidRPr="00FB5623">
        <w:rPr>
          <w:rFonts w:eastAsia="Calibri"/>
          <w:i/>
          <w:szCs w:val="22"/>
          <w:lang w:eastAsia="en-US"/>
        </w:rPr>
        <w:t>Ο Πρόεδρος</w:t>
      </w:r>
      <w:r w:rsidRPr="00FB5623">
        <w:rPr>
          <w:rFonts w:eastAsia="Calibri"/>
          <w:i/>
          <w:szCs w:val="22"/>
          <w:lang w:eastAsia="en-US"/>
        </w:rPr>
        <w:tab/>
        <w:t>Ο Πρόεδρος</w:t>
      </w:r>
    </w:p>
    <w:p w:rsidR="00FB5623" w:rsidRPr="00FB5623" w:rsidRDefault="00FB5623" w:rsidP="00FB5623">
      <w:pPr>
        <w:widowControl/>
        <w:spacing w:line="360" w:lineRule="auto"/>
        <w:rPr>
          <w:rFonts w:eastAsia="Calibri"/>
          <w:i/>
          <w:szCs w:val="22"/>
          <w:lang w:eastAsia="en-US"/>
        </w:rPr>
      </w:pPr>
      <w:r w:rsidRPr="00FB5623">
        <w:rPr>
          <w:rFonts w:eastAsia="Calibri"/>
          <w:i/>
          <w:szCs w:val="22"/>
          <w:lang w:eastAsia="en-US"/>
        </w:rPr>
        <w:br w:type="page"/>
      </w:r>
    </w:p>
    <w:p w:rsidR="00FB5623" w:rsidRPr="00FB5623" w:rsidRDefault="00FB5623" w:rsidP="00FB5623">
      <w:pPr>
        <w:widowControl/>
        <w:spacing w:before="120" w:after="120" w:line="360" w:lineRule="auto"/>
        <w:jc w:val="center"/>
        <w:rPr>
          <w:rFonts w:eastAsia="Calibri"/>
          <w:b/>
          <w:szCs w:val="22"/>
          <w:u w:val="single"/>
          <w:lang w:eastAsia="en-US"/>
        </w:rPr>
      </w:pPr>
      <w:r w:rsidRPr="00FB5623">
        <w:rPr>
          <w:rFonts w:eastAsia="Calibri"/>
          <w:b/>
          <w:szCs w:val="22"/>
          <w:u w:val="single"/>
          <w:lang w:eastAsia="en-US"/>
        </w:rPr>
        <w:t>ΠΑΡΑΡΤΗΜΑ</w:t>
      </w:r>
    </w:p>
    <w:p w:rsidR="00FB5623" w:rsidRPr="00FB5623" w:rsidRDefault="00FB5623" w:rsidP="00FB5623">
      <w:pPr>
        <w:widowControl/>
        <w:spacing w:before="120" w:after="120" w:line="360" w:lineRule="auto"/>
        <w:ind w:left="850" w:hanging="850"/>
        <w:rPr>
          <w:rFonts w:eastAsia="Calibri"/>
          <w:szCs w:val="22"/>
          <w:lang w:eastAsia="en-US"/>
        </w:rPr>
      </w:pPr>
      <w:r w:rsidRPr="00FB5623">
        <w:rPr>
          <w:rFonts w:eastAsia="Calibri"/>
          <w:szCs w:val="22"/>
          <w:lang w:eastAsia="en-US"/>
        </w:rPr>
        <w:t>1.</w:t>
      </w:r>
      <w:r w:rsidRPr="00FB5623">
        <w:rPr>
          <w:rFonts w:eastAsia="Calibri"/>
          <w:szCs w:val="22"/>
          <w:lang w:eastAsia="en-US"/>
        </w:rPr>
        <w:tab/>
        <w:t>Στο παράρτημα I της απόφασης 2003/17/ΕΚ, ο πίνακας τροποποιείται ως εξής:</w:t>
      </w:r>
    </w:p>
    <w:p w:rsidR="00FB5623" w:rsidRPr="00FB5623" w:rsidRDefault="00FB5623" w:rsidP="00FB5623">
      <w:pPr>
        <w:widowControl/>
        <w:spacing w:before="120" w:after="120" w:line="360" w:lineRule="auto"/>
        <w:ind w:left="1417" w:hanging="567"/>
        <w:rPr>
          <w:rFonts w:eastAsia="Calibri"/>
          <w:szCs w:val="22"/>
          <w:lang w:eastAsia="en-US"/>
        </w:rPr>
      </w:pPr>
      <w:r w:rsidRPr="00FB5623">
        <w:rPr>
          <w:rFonts w:eastAsia="Calibri"/>
          <w:szCs w:val="22"/>
          <w:lang w:eastAsia="en-US"/>
        </w:rPr>
        <w:t>1)</w:t>
      </w:r>
      <w:r w:rsidRPr="00FB5623">
        <w:rPr>
          <w:rFonts w:eastAsia="Calibri"/>
          <w:szCs w:val="22"/>
          <w:lang w:eastAsia="en-US"/>
        </w:rPr>
        <w:tab/>
        <w:t>Μεταξύ των σειρών «CL» και «IL» παρεμβάλλεται η ακόλουθη σειρά:</w:t>
      </w:r>
    </w:p>
    <w:tbl>
      <w:tblPr>
        <w:tblW w:w="0" w:type="auto"/>
        <w:tblInd w:w="133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50"/>
        <w:gridCol w:w="3741"/>
        <w:gridCol w:w="1747"/>
      </w:tblGrid>
      <w:tr w:rsidR="00FB5623" w:rsidRPr="00FB5623" w:rsidTr="00A662C5">
        <w:tc>
          <w:tcPr>
            <w:tcW w:w="2268" w:type="dxa"/>
            <w:tcBorders>
              <w:top w:val="single" w:sz="4" w:space="0" w:color="auto"/>
              <w:left w:val="nil"/>
              <w:bottom w:val="single" w:sz="4" w:space="0" w:color="auto"/>
              <w:right w:val="single" w:sz="4" w:space="0" w:color="auto"/>
            </w:tcBorders>
            <w:hideMark/>
          </w:tcPr>
          <w:p w:rsidR="00FB5623" w:rsidRPr="00FB5623" w:rsidRDefault="00FB5623" w:rsidP="00FB5623">
            <w:pPr>
              <w:widowControl/>
              <w:rPr>
                <w:rFonts w:eastAsia="Calibri"/>
                <w:lang w:eastAsia="en-US"/>
              </w:rPr>
            </w:pPr>
            <w:r w:rsidRPr="00FB5623">
              <w:rPr>
                <w:rFonts w:eastAsia="Calibri"/>
                <w:szCs w:val="22"/>
                <w:lang w:eastAsia="en-US"/>
              </w:rPr>
              <w:t>«GB**</w:t>
            </w:r>
          </w:p>
        </w:tc>
        <w:tc>
          <w:tcPr>
            <w:tcW w:w="3771" w:type="dxa"/>
            <w:tcBorders>
              <w:top w:val="single" w:sz="4" w:space="0" w:color="auto"/>
              <w:left w:val="single" w:sz="4" w:space="0" w:color="auto"/>
              <w:bottom w:val="single" w:sz="4" w:space="0" w:color="auto"/>
              <w:right w:val="single" w:sz="4" w:space="0" w:color="auto"/>
            </w:tcBorders>
            <w:hideMark/>
          </w:tcPr>
          <w:p w:rsidR="00FB5623" w:rsidRPr="00FB5623" w:rsidRDefault="00FB5623" w:rsidP="00FB5623">
            <w:pPr>
              <w:widowControl/>
              <w:rPr>
                <w:rFonts w:eastAsia="Calibri"/>
                <w:szCs w:val="22"/>
                <w:lang w:val="en-GB" w:eastAsia="en-US"/>
              </w:rPr>
            </w:pPr>
            <w:r w:rsidRPr="00FB5623">
              <w:rPr>
                <w:rFonts w:eastAsia="Calibri"/>
                <w:szCs w:val="22"/>
                <w:lang w:val="en-GB" w:eastAsia="en-US"/>
              </w:rPr>
              <w:t>Department for Environment, Food &amp; Rural Affairs (DEFRA)</w:t>
            </w:r>
          </w:p>
          <w:p w:rsidR="00FB5623" w:rsidRPr="00FB5623" w:rsidRDefault="00FB5623" w:rsidP="00FB5623">
            <w:pPr>
              <w:widowControl/>
              <w:rPr>
                <w:rFonts w:eastAsia="Calibri"/>
                <w:szCs w:val="22"/>
                <w:lang w:val="en-GB" w:eastAsia="en-US"/>
              </w:rPr>
            </w:pPr>
            <w:r w:rsidRPr="00FB5623">
              <w:rPr>
                <w:rFonts w:eastAsia="Calibri"/>
                <w:szCs w:val="22"/>
                <w:lang w:val="en-GB" w:eastAsia="en-US"/>
              </w:rPr>
              <w:t xml:space="preserve">Eastbrook </w:t>
            </w:r>
          </w:p>
          <w:p w:rsidR="00FB5623" w:rsidRPr="00FB5623" w:rsidRDefault="00FB5623" w:rsidP="00FB5623">
            <w:pPr>
              <w:widowControl/>
              <w:rPr>
                <w:rFonts w:eastAsia="Calibri"/>
                <w:szCs w:val="22"/>
                <w:lang w:val="en-GB" w:eastAsia="en-US"/>
              </w:rPr>
            </w:pPr>
            <w:r w:rsidRPr="00FB5623">
              <w:rPr>
                <w:rFonts w:eastAsia="Calibri"/>
                <w:szCs w:val="22"/>
                <w:lang w:val="en-GB" w:eastAsia="en-US"/>
              </w:rPr>
              <w:t xml:space="preserve">Shaftesbury Road </w:t>
            </w:r>
          </w:p>
          <w:p w:rsidR="00FB5623" w:rsidRPr="00FB5623" w:rsidRDefault="00FB5623" w:rsidP="00FB5623">
            <w:pPr>
              <w:widowControl/>
              <w:rPr>
                <w:rFonts w:eastAsia="Calibri"/>
                <w:szCs w:val="22"/>
                <w:lang w:val="en-GB" w:eastAsia="en-US"/>
              </w:rPr>
            </w:pPr>
            <w:r w:rsidRPr="00FB5623">
              <w:rPr>
                <w:rFonts w:eastAsia="Calibri"/>
                <w:szCs w:val="22"/>
                <w:lang w:val="en-GB" w:eastAsia="en-US"/>
              </w:rPr>
              <w:t xml:space="preserve">Cambridge </w:t>
            </w:r>
          </w:p>
          <w:p w:rsidR="00FB5623" w:rsidRPr="00FB5623" w:rsidRDefault="00FB5623" w:rsidP="00FB5623">
            <w:pPr>
              <w:widowControl/>
              <w:rPr>
                <w:rFonts w:eastAsia="Calibri"/>
                <w:lang w:val="en-GB" w:eastAsia="en-US"/>
              </w:rPr>
            </w:pPr>
            <w:r w:rsidRPr="00FB5623">
              <w:rPr>
                <w:rFonts w:eastAsia="Calibri"/>
                <w:szCs w:val="22"/>
                <w:lang w:val="en-GB" w:eastAsia="en-US"/>
              </w:rPr>
              <w:t>CB2 8DU</w:t>
            </w:r>
          </w:p>
        </w:tc>
        <w:tc>
          <w:tcPr>
            <w:tcW w:w="1751" w:type="dxa"/>
            <w:tcBorders>
              <w:top w:val="single" w:sz="4" w:space="0" w:color="auto"/>
              <w:left w:val="single" w:sz="4" w:space="0" w:color="auto"/>
              <w:bottom w:val="single" w:sz="4" w:space="0" w:color="auto"/>
              <w:right w:val="nil"/>
            </w:tcBorders>
            <w:hideMark/>
          </w:tcPr>
          <w:p w:rsidR="00FB5623" w:rsidRPr="00FB5623" w:rsidRDefault="00FB5623" w:rsidP="00FB5623">
            <w:pPr>
              <w:widowControl/>
              <w:rPr>
                <w:rFonts w:eastAsia="Calibri"/>
                <w:szCs w:val="22"/>
                <w:lang w:eastAsia="en-US"/>
              </w:rPr>
            </w:pPr>
            <w:r w:rsidRPr="00FB5623">
              <w:rPr>
                <w:rFonts w:eastAsia="Calibri"/>
                <w:szCs w:val="22"/>
                <w:lang w:eastAsia="en-US"/>
              </w:rPr>
              <w:t>66/401/ΕΟΚ</w:t>
            </w:r>
          </w:p>
          <w:p w:rsidR="00FB5623" w:rsidRPr="00FB5623" w:rsidRDefault="00FB5623" w:rsidP="00FB5623">
            <w:pPr>
              <w:widowControl/>
              <w:rPr>
                <w:rFonts w:eastAsia="Calibri"/>
                <w:szCs w:val="22"/>
                <w:lang w:eastAsia="en-US"/>
              </w:rPr>
            </w:pPr>
            <w:r w:rsidRPr="00FB5623">
              <w:rPr>
                <w:rFonts w:eastAsia="Calibri"/>
                <w:szCs w:val="22"/>
                <w:lang w:eastAsia="en-US"/>
              </w:rPr>
              <w:t>66/402/ΕΟΚ</w:t>
            </w:r>
          </w:p>
          <w:p w:rsidR="00FB5623" w:rsidRPr="00FB5623" w:rsidRDefault="00FB5623" w:rsidP="00FB5623">
            <w:pPr>
              <w:widowControl/>
              <w:rPr>
                <w:rFonts w:eastAsia="Calibri"/>
                <w:lang w:eastAsia="en-US"/>
              </w:rPr>
            </w:pPr>
            <w:r w:rsidRPr="00FB5623">
              <w:rPr>
                <w:rFonts w:eastAsia="Calibri"/>
                <w:szCs w:val="22"/>
                <w:lang w:eastAsia="en-US"/>
              </w:rPr>
              <w:t>2002/54/ΕΚ</w:t>
            </w:r>
          </w:p>
          <w:p w:rsidR="00FB5623" w:rsidRPr="00FB5623" w:rsidRDefault="00FB5623" w:rsidP="00FB5623">
            <w:pPr>
              <w:widowControl/>
              <w:rPr>
                <w:rFonts w:eastAsia="Calibri"/>
                <w:lang w:eastAsia="en-US"/>
              </w:rPr>
            </w:pPr>
            <w:r w:rsidRPr="00FB5623">
              <w:rPr>
                <w:rFonts w:eastAsia="Calibri"/>
                <w:szCs w:val="22"/>
                <w:lang w:eastAsia="en-US"/>
              </w:rPr>
              <w:t>2002/57/ΕΚ</w:t>
            </w:r>
          </w:p>
        </w:tc>
      </w:tr>
    </w:tbl>
    <w:p w:rsidR="00FB5623" w:rsidRPr="00FB5623" w:rsidRDefault="00FB5623" w:rsidP="00FB5623">
      <w:pPr>
        <w:widowControl/>
        <w:spacing w:before="120" w:after="120"/>
        <w:ind w:left="1984" w:hanging="567"/>
        <w:rPr>
          <w:rFonts w:eastAsia="Calibri"/>
          <w:szCs w:val="22"/>
          <w:lang w:eastAsia="en-US"/>
        </w:rPr>
      </w:pPr>
      <w:r w:rsidRPr="00FB5623">
        <w:rPr>
          <w:rFonts w:eastAsia="Calibri"/>
          <w:szCs w:val="22"/>
          <w:lang w:eastAsia="en-US"/>
        </w:rPr>
        <w:t>_____________________</w:t>
      </w:r>
    </w:p>
    <w:p w:rsidR="00FB5623" w:rsidRPr="00FB5623" w:rsidRDefault="00FB5623" w:rsidP="00FB5623">
      <w:pPr>
        <w:widowControl/>
        <w:spacing w:before="120" w:after="120"/>
        <w:ind w:left="1984" w:hanging="567"/>
        <w:rPr>
          <w:rFonts w:eastAsia="Calibri"/>
          <w:szCs w:val="22"/>
          <w:lang w:eastAsia="en-US"/>
        </w:rPr>
      </w:pPr>
      <w:r w:rsidRPr="00FB5623">
        <w:rPr>
          <w:rFonts w:eastAsia="Calibri"/>
          <w:i/>
          <w:iCs/>
          <w:sz w:val="20"/>
          <w:szCs w:val="20"/>
          <w:lang w:eastAsia="en-US"/>
        </w:rPr>
        <w:t>(**)</w:t>
      </w:r>
      <w:r w:rsidRPr="00FB5623">
        <w:rPr>
          <w:rFonts w:eastAsia="Calibri"/>
          <w:szCs w:val="22"/>
          <w:lang w:eastAsia="en-US"/>
        </w:rPr>
        <w:tab/>
      </w:r>
      <w:r w:rsidRPr="00FB5623">
        <w:rPr>
          <w:rFonts w:eastAsia="Calibri"/>
          <w:i/>
          <w:iCs/>
          <w:sz w:val="20"/>
          <w:szCs w:val="20"/>
          <w:lang w:eastAsia="en-US"/>
        </w:rPr>
        <w:t>Σύμφωνα με τη 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και ιδίως το άρθρο 5 παράγραφος 4 του πρωτοκόλλου για τις Ιρλανδία/Βόρεια Ιρλανδία, σε συνδυασμό με το παράρτημα 2 του εν λόγω πρωτοκόλλου, για τους σκοπούς του παρόντος παραρτήματος, οι αναφορές στο Ηνωμένο Βασίλειο δεν περιλαμβάνουν τη Βόρεια Ιρλανδία.</w:t>
      </w:r>
      <w:r w:rsidRPr="00FB5623">
        <w:rPr>
          <w:rFonts w:eastAsia="Calibri"/>
          <w:szCs w:val="22"/>
          <w:lang w:eastAsia="en-US"/>
        </w:rPr>
        <w:t>».</w:t>
      </w:r>
    </w:p>
    <w:p w:rsidR="00FB5623" w:rsidRPr="00FB5623" w:rsidRDefault="00FB5623" w:rsidP="00FB5623">
      <w:pPr>
        <w:widowControl/>
        <w:spacing w:before="120" w:after="120" w:line="360" w:lineRule="auto"/>
        <w:ind w:left="1417" w:hanging="567"/>
        <w:rPr>
          <w:rFonts w:eastAsia="Calibri"/>
          <w:szCs w:val="22"/>
          <w:lang w:eastAsia="en-US"/>
        </w:rPr>
      </w:pPr>
      <w:r w:rsidRPr="00FB5623">
        <w:rPr>
          <w:rFonts w:eastAsia="Calibri"/>
          <w:szCs w:val="22"/>
          <w:lang w:eastAsia="en-US"/>
        </w:rPr>
        <w:t>2)</w:t>
      </w:r>
      <w:r w:rsidRPr="00FB5623">
        <w:rPr>
          <w:rFonts w:eastAsia="Calibri"/>
          <w:szCs w:val="22"/>
          <w:lang w:eastAsia="en-US"/>
        </w:rPr>
        <w:tab/>
        <w:t>Στην υποσημείωση (*), μεταξύ των ενδείξεων «CL — Χιλή» και «IL — Ισραήλ» παρεμβάλλονται τα ακόλουθα:</w:t>
      </w:r>
    </w:p>
    <w:p w:rsidR="00FB5623" w:rsidRPr="00FB5623" w:rsidRDefault="00FB5623" w:rsidP="00FB5623">
      <w:pPr>
        <w:widowControl/>
        <w:spacing w:before="120" w:after="120" w:line="360" w:lineRule="auto"/>
        <w:ind w:left="1417"/>
        <w:rPr>
          <w:rFonts w:eastAsia="Calibri"/>
          <w:szCs w:val="22"/>
          <w:lang w:eastAsia="en-US"/>
        </w:rPr>
      </w:pPr>
      <w:r w:rsidRPr="00FB5623">
        <w:rPr>
          <w:rFonts w:eastAsia="Calibri"/>
          <w:szCs w:val="22"/>
          <w:lang w:eastAsia="en-US"/>
        </w:rPr>
        <w:t>«GB — Ηνωμένο Βασίλειο,».</w:t>
      </w:r>
    </w:p>
    <w:p w:rsidR="00FB5623" w:rsidRPr="00FB5623" w:rsidRDefault="00FB5623" w:rsidP="00FB5623">
      <w:pPr>
        <w:widowControl/>
        <w:spacing w:line="360" w:lineRule="auto"/>
        <w:rPr>
          <w:rFonts w:eastAsia="Calibri"/>
          <w:szCs w:val="22"/>
          <w:lang w:eastAsia="en-US"/>
        </w:rPr>
      </w:pPr>
      <w:r w:rsidRPr="00FB5623">
        <w:rPr>
          <w:rFonts w:eastAsia="Calibri"/>
          <w:szCs w:val="22"/>
          <w:lang w:eastAsia="en-US"/>
        </w:rPr>
        <w:br w:type="page"/>
      </w:r>
    </w:p>
    <w:p w:rsidR="00FB5623" w:rsidRPr="00FB5623" w:rsidRDefault="00FB5623" w:rsidP="00FB5623">
      <w:pPr>
        <w:widowControl/>
        <w:spacing w:before="120" w:after="120" w:line="360" w:lineRule="auto"/>
        <w:ind w:left="850" w:hanging="850"/>
        <w:rPr>
          <w:rFonts w:eastAsia="Calibri"/>
          <w:lang w:eastAsia="en-US"/>
        </w:rPr>
      </w:pPr>
      <w:r w:rsidRPr="00FB5623">
        <w:rPr>
          <w:rFonts w:eastAsia="Calibri"/>
          <w:szCs w:val="22"/>
          <w:lang w:eastAsia="en-US"/>
        </w:rPr>
        <w:t>2.</w:t>
      </w:r>
      <w:r w:rsidRPr="00FB5623">
        <w:rPr>
          <w:rFonts w:eastAsia="Calibri"/>
          <w:szCs w:val="22"/>
          <w:lang w:eastAsia="en-US"/>
        </w:rPr>
        <w:tab/>
        <w:t>Στο παράρτημα της απόφασης 2005/834/ΕΚ, ο πίνακας τροποποιείται ως εξής:</w:t>
      </w:r>
    </w:p>
    <w:p w:rsidR="00FB5623" w:rsidRPr="00FB5623" w:rsidRDefault="00FB5623" w:rsidP="00FB5623">
      <w:pPr>
        <w:widowControl/>
        <w:spacing w:before="120" w:after="120" w:line="360" w:lineRule="auto"/>
        <w:ind w:left="1417" w:hanging="567"/>
        <w:rPr>
          <w:rFonts w:eastAsia="Calibri"/>
          <w:szCs w:val="22"/>
          <w:lang w:eastAsia="en-US"/>
        </w:rPr>
      </w:pPr>
      <w:r w:rsidRPr="00FB5623">
        <w:rPr>
          <w:rFonts w:eastAsia="Calibri"/>
          <w:szCs w:val="22"/>
          <w:lang w:eastAsia="en-US"/>
        </w:rPr>
        <w:t>1)</w:t>
      </w:r>
      <w:r w:rsidRPr="00FB5623">
        <w:rPr>
          <w:rFonts w:eastAsia="Calibri"/>
          <w:szCs w:val="22"/>
          <w:lang w:eastAsia="en-US"/>
        </w:rPr>
        <w:tab/>
        <w:t>Μεταξύ των σειρών «CS» και «IL» παρεμβάλλεται η ακόλουθη σειρά:</w:t>
      </w:r>
    </w:p>
    <w:tbl>
      <w:tblPr>
        <w:tblW w:w="0" w:type="auto"/>
        <w:tblInd w:w="133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50"/>
        <w:gridCol w:w="3741"/>
        <w:gridCol w:w="1747"/>
      </w:tblGrid>
      <w:tr w:rsidR="00FB5623" w:rsidRPr="00FB5623" w:rsidTr="00A662C5">
        <w:tc>
          <w:tcPr>
            <w:tcW w:w="2268" w:type="dxa"/>
            <w:tcBorders>
              <w:top w:val="single" w:sz="4" w:space="0" w:color="auto"/>
              <w:left w:val="nil"/>
              <w:bottom w:val="single" w:sz="4" w:space="0" w:color="auto"/>
              <w:right w:val="single" w:sz="4" w:space="0" w:color="auto"/>
            </w:tcBorders>
            <w:hideMark/>
          </w:tcPr>
          <w:p w:rsidR="00FB5623" w:rsidRPr="00FB5623" w:rsidRDefault="00FB5623" w:rsidP="00FB5623">
            <w:pPr>
              <w:widowControl/>
              <w:rPr>
                <w:rFonts w:eastAsia="Calibri"/>
                <w:lang w:eastAsia="en-US"/>
              </w:rPr>
            </w:pPr>
            <w:r w:rsidRPr="00FB5623">
              <w:rPr>
                <w:rFonts w:eastAsia="Calibri"/>
                <w:szCs w:val="22"/>
                <w:lang w:eastAsia="en-US"/>
              </w:rPr>
              <w:t>«GB**</w:t>
            </w:r>
          </w:p>
        </w:tc>
        <w:tc>
          <w:tcPr>
            <w:tcW w:w="3771" w:type="dxa"/>
            <w:tcBorders>
              <w:top w:val="single" w:sz="4" w:space="0" w:color="auto"/>
              <w:left w:val="single" w:sz="4" w:space="0" w:color="auto"/>
              <w:bottom w:val="single" w:sz="4" w:space="0" w:color="auto"/>
              <w:right w:val="single" w:sz="4" w:space="0" w:color="auto"/>
            </w:tcBorders>
            <w:hideMark/>
          </w:tcPr>
          <w:p w:rsidR="00FB5623" w:rsidRPr="00FB5623" w:rsidRDefault="00FB5623" w:rsidP="00FB5623">
            <w:pPr>
              <w:widowControl/>
              <w:rPr>
                <w:rFonts w:eastAsia="Calibri"/>
                <w:szCs w:val="22"/>
                <w:lang w:val="en-GB" w:eastAsia="en-US"/>
              </w:rPr>
            </w:pPr>
            <w:r w:rsidRPr="00FB5623">
              <w:rPr>
                <w:rFonts w:eastAsia="Calibri"/>
                <w:szCs w:val="22"/>
                <w:lang w:val="en-GB" w:eastAsia="en-US"/>
              </w:rPr>
              <w:t>Department for Environment, Food &amp; Rural Affairs (DEFRA)</w:t>
            </w:r>
          </w:p>
          <w:p w:rsidR="00FB5623" w:rsidRPr="00FB5623" w:rsidRDefault="00FB5623" w:rsidP="00FB5623">
            <w:pPr>
              <w:widowControl/>
              <w:rPr>
                <w:rFonts w:eastAsia="Calibri"/>
                <w:szCs w:val="22"/>
                <w:lang w:val="en-GB" w:eastAsia="en-US"/>
              </w:rPr>
            </w:pPr>
            <w:r w:rsidRPr="00FB5623">
              <w:rPr>
                <w:rFonts w:eastAsia="Calibri"/>
                <w:szCs w:val="22"/>
                <w:lang w:val="en-GB" w:eastAsia="en-US"/>
              </w:rPr>
              <w:t xml:space="preserve">Eastbrook </w:t>
            </w:r>
          </w:p>
          <w:p w:rsidR="00FB5623" w:rsidRPr="00FB5623" w:rsidRDefault="00FB5623" w:rsidP="00FB5623">
            <w:pPr>
              <w:widowControl/>
              <w:rPr>
                <w:rFonts w:eastAsia="Calibri"/>
                <w:szCs w:val="22"/>
                <w:lang w:val="en-GB" w:eastAsia="en-US"/>
              </w:rPr>
            </w:pPr>
            <w:r w:rsidRPr="00FB5623">
              <w:rPr>
                <w:rFonts w:eastAsia="Calibri"/>
                <w:szCs w:val="22"/>
                <w:lang w:val="en-GB" w:eastAsia="en-US"/>
              </w:rPr>
              <w:t xml:space="preserve">Shaftesbury Road </w:t>
            </w:r>
          </w:p>
          <w:p w:rsidR="00FB5623" w:rsidRPr="00FB5623" w:rsidRDefault="00FB5623" w:rsidP="00FB5623">
            <w:pPr>
              <w:widowControl/>
              <w:rPr>
                <w:rFonts w:eastAsia="Calibri"/>
                <w:szCs w:val="22"/>
                <w:lang w:val="en-GB" w:eastAsia="en-US"/>
              </w:rPr>
            </w:pPr>
            <w:r w:rsidRPr="00FB5623">
              <w:rPr>
                <w:rFonts w:eastAsia="Calibri"/>
                <w:szCs w:val="22"/>
                <w:lang w:val="en-GB" w:eastAsia="en-US"/>
              </w:rPr>
              <w:t xml:space="preserve">Cambridge </w:t>
            </w:r>
          </w:p>
          <w:p w:rsidR="00FB5623" w:rsidRPr="00FB5623" w:rsidRDefault="00FB5623" w:rsidP="00FB5623">
            <w:pPr>
              <w:widowControl/>
              <w:rPr>
                <w:rFonts w:eastAsia="Calibri"/>
                <w:lang w:val="en-GB" w:eastAsia="en-US"/>
              </w:rPr>
            </w:pPr>
            <w:r w:rsidRPr="00FB5623">
              <w:rPr>
                <w:rFonts w:eastAsia="Calibri"/>
                <w:szCs w:val="22"/>
                <w:lang w:val="en-GB" w:eastAsia="en-US"/>
              </w:rPr>
              <w:t>CB2 8DU</w:t>
            </w:r>
          </w:p>
        </w:tc>
        <w:tc>
          <w:tcPr>
            <w:tcW w:w="1751" w:type="dxa"/>
            <w:tcBorders>
              <w:top w:val="single" w:sz="4" w:space="0" w:color="auto"/>
              <w:left w:val="single" w:sz="4" w:space="0" w:color="auto"/>
              <w:bottom w:val="single" w:sz="4" w:space="0" w:color="auto"/>
              <w:right w:val="nil"/>
            </w:tcBorders>
            <w:hideMark/>
          </w:tcPr>
          <w:p w:rsidR="00FB5623" w:rsidRPr="00FB5623" w:rsidRDefault="00FB5623" w:rsidP="00FB5623">
            <w:pPr>
              <w:widowControl/>
              <w:rPr>
                <w:rFonts w:eastAsia="Calibri"/>
                <w:szCs w:val="22"/>
                <w:lang w:eastAsia="en-US"/>
              </w:rPr>
            </w:pPr>
            <w:r w:rsidRPr="00FB5623">
              <w:rPr>
                <w:rFonts w:eastAsia="Calibri"/>
                <w:szCs w:val="22"/>
                <w:lang w:eastAsia="en-US"/>
              </w:rPr>
              <w:t>66/401/ΕΟΚ</w:t>
            </w:r>
          </w:p>
          <w:p w:rsidR="00FB5623" w:rsidRPr="00FB5623" w:rsidRDefault="00FB5623" w:rsidP="00FB5623">
            <w:pPr>
              <w:widowControl/>
              <w:rPr>
                <w:rFonts w:eastAsia="Calibri"/>
                <w:szCs w:val="22"/>
                <w:lang w:eastAsia="en-US"/>
              </w:rPr>
            </w:pPr>
            <w:r w:rsidRPr="00FB5623">
              <w:rPr>
                <w:rFonts w:eastAsia="Calibri"/>
                <w:szCs w:val="22"/>
                <w:lang w:eastAsia="en-US"/>
              </w:rPr>
              <w:t>66/402/ΕΟΚ</w:t>
            </w:r>
          </w:p>
          <w:p w:rsidR="00FB5623" w:rsidRPr="00FB5623" w:rsidRDefault="00FB5623" w:rsidP="00FB5623">
            <w:pPr>
              <w:widowControl/>
              <w:rPr>
                <w:rFonts w:eastAsia="Calibri"/>
                <w:lang w:eastAsia="en-US"/>
              </w:rPr>
            </w:pPr>
            <w:r w:rsidRPr="00FB5623">
              <w:rPr>
                <w:rFonts w:eastAsia="Calibri"/>
                <w:szCs w:val="22"/>
                <w:lang w:eastAsia="en-US"/>
              </w:rPr>
              <w:t>2002/54/ΕΚ</w:t>
            </w:r>
          </w:p>
          <w:p w:rsidR="00FB5623" w:rsidRPr="00FB5623" w:rsidRDefault="00FB5623" w:rsidP="00FB5623">
            <w:pPr>
              <w:widowControl/>
              <w:rPr>
                <w:rFonts w:eastAsia="Calibri"/>
                <w:lang w:eastAsia="en-US"/>
              </w:rPr>
            </w:pPr>
            <w:r w:rsidRPr="00FB5623">
              <w:rPr>
                <w:rFonts w:eastAsia="Calibri"/>
                <w:szCs w:val="22"/>
                <w:lang w:eastAsia="en-US"/>
              </w:rPr>
              <w:t>2002/55/ΕΚ</w:t>
            </w:r>
          </w:p>
          <w:p w:rsidR="00FB5623" w:rsidRPr="00FB5623" w:rsidRDefault="00FB5623" w:rsidP="00FB5623">
            <w:pPr>
              <w:widowControl/>
              <w:rPr>
                <w:rFonts w:eastAsia="Calibri"/>
                <w:lang w:eastAsia="en-US"/>
              </w:rPr>
            </w:pPr>
            <w:r w:rsidRPr="00FB5623">
              <w:rPr>
                <w:rFonts w:eastAsia="Calibri"/>
                <w:szCs w:val="22"/>
                <w:lang w:eastAsia="en-US"/>
              </w:rPr>
              <w:t>2002/57/ΕΚ</w:t>
            </w:r>
          </w:p>
        </w:tc>
      </w:tr>
    </w:tbl>
    <w:p w:rsidR="00FB5623" w:rsidRPr="00FB5623" w:rsidRDefault="00FB5623" w:rsidP="00FB5623">
      <w:pPr>
        <w:widowControl/>
        <w:spacing w:before="120" w:after="120"/>
        <w:ind w:left="1985" w:hanging="567"/>
        <w:rPr>
          <w:rFonts w:eastAsia="Calibri"/>
          <w:szCs w:val="22"/>
          <w:lang w:eastAsia="en-US"/>
        </w:rPr>
      </w:pPr>
      <w:r w:rsidRPr="00FB5623">
        <w:rPr>
          <w:rFonts w:eastAsia="Calibri"/>
          <w:szCs w:val="22"/>
          <w:lang w:eastAsia="en-US"/>
        </w:rPr>
        <w:t>_____________________</w:t>
      </w:r>
    </w:p>
    <w:p w:rsidR="00FB5623" w:rsidRPr="00FB5623" w:rsidRDefault="00FB5623" w:rsidP="00FB5623">
      <w:pPr>
        <w:widowControl/>
        <w:spacing w:before="120" w:after="120"/>
        <w:ind w:left="1985" w:hanging="567"/>
        <w:rPr>
          <w:rFonts w:eastAsia="Calibri"/>
          <w:szCs w:val="22"/>
          <w:lang w:eastAsia="en-US"/>
        </w:rPr>
      </w:pPr>
      <w:r w:rsidRPr="00FB5623">
        <w:rPr>
          <w:rFonts w:eastAsia="Calibri"/>
          <w:i/>
          <w:iCs/>
          <w:sz w:val="20"/>
          <w:szCs w:val="20"/>
          <w:lang w:eastAsia="en-US"/>
        </w:rPr>
        <w:t>(**)</w:t>
      </w:r>
      <w:r w:rsidRPr="00FB5623">
        <w:rPr>
          <w:rFonts w:eastAsia="Calibri"/>
          <w:szCs w:val="22"/>
          <w:lang w:eastAsia="en-US"/>
        </w:rPr>
        <w:tab/>
      </w:r>
      <w:r w:rsidRPr="00FB5623">
        <w:rPr>
          <w:rFonts w:eastAsia="Calibri"/>
          <w:i/>
          <w:iCs/>
          <w:sz w:val="20"/>
          <w:szCs w:val="20"/>
          <w:lang w:eastAsia="en-US"/>
        </w:rPr>
        <w:t>Σύμφωνα με τη 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και ιδίως το άρθρο 5 παράγραφος 4 του πρωτοκόλλου για τις Ιρλανδία/Βόρεια Ιρλανδία, σε συνδυασμό με το παράρτημα 2 του εν λόγω πρωτοκόλλου, για τους σκοπούς του παρόντος παραρτήματος, οι αναφορές στο Ηνωμένο Βασίλειο δεν περιλαμβάνουν τη Βόρεια Ιρλανδία.</w:t>
      </w:r>
      <w:r w:rsidRPr="00FB5623">
        <w:rPr>
          <w:rFonts w:eastAsia="Calibri"/>
          <w:szCs w:val="22"/>
          <w:lang w:eastAsia="en-US"/>
        </w:rPr>
        <w:t>».</w:t>
      </w:r>
    </w:p>
    <w:p w:rsidR="00FB5623" w:rsidRPr="00FB5623" w:rsidRDefault="00FB5623" w:rsidP="00FB5623">
      <w:pPr>
        <w:widowControl/>
        <w:spacing w:before="120" w:after="120" w:line="360" w:lineRule="auto"/>
        <w:ind w:left="1417" w:hanging="567"/>
        <w:rPr>
          <w:rFonts w:eastAsia="Calibri"/>
          <w:szCs w:val="22"/>
          <w:lang w:eastAsia="en-US"/>
        </w:rPr>
      </w:pPr>
      <w:r w:rsidRPr="00FB5623">
        <w:rPr>
          <w:rFonts w:eastAsia="Calibri"/>
          <w:szCs w:val="22"/>
          <w:lang w:eastAsia="en-US"/>
        </w:rPr>
        <w:t>2)</w:t>
      </w:r>
      <w:r w:rsidRPr="00FB5623">
        <w:rPr>
          <w:rFonts w:eastAsia="Calibri"/>
          <w:szCs w:val="22"/>
          <w:lang w:eastAsia="en-US"/>
        </w:rPr>
        <w:tab/>
        <w:t>Στην υποσημείωση (*), μεταξύ των ενδείξεων «CS — Σερβία και Μαυροβούνιο» και «IL — Ισραήλ» παρεμβάλλονται τα ακόλουθα:</w:t>
      </w:r>
    </w:p>
    <w:p w:rsidR="00FB5623" w:rsidRPr="00FB5623" w:rsidRDefault="00FB5623" w:rsidP="00FB5623">
      <w:pPr>
        <w:widowControl/>
        <w:spacing w:before="120" w:after="120" w:line="360" w:lineRule="auto"/>
        <w:ind w:left="1417"/>
        <w:rPr>
          <w:rFonts w:eastAsia="Calibri"/>
          <w:lang w:eastAsia="en-US"/>
        </w:rPr>
      </w:pPr>
      <w:r w:rsidRPr="00FB5623">
        <w:rPr>
          <w:rFonts w:eastAsia="Calibri"/>
          <w:szCs w:val="22"/>
          <w:lang w:eastAsia="en-US"/>
        </w:rPr>
        <w:t>«GB — Ηνωμένο Βασίλειο,».</w:t>
      </w:r>
    </w:p>
    <w:p w:rsidR="00FB5623" w:rsidRPr="00FB5623" w:rsidRDefault="00FB5623" w:rsidP="00FB5623">
      <w:pPr>
        <w:spacing w:after="240"/>
      </w:pPr>
    </w:p>
    <w:p w:rsidR="000F2FE2" w:rsidRPr="00FB5623" w:rsidRDefault="000F2FE2" w:rsidP="008D715A"/>
    <w:sectPr w:rsidR="000F2FE2" w:rsidRPr="00FB5623" w:rsidSect="009844B0">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EA" w:rsidRPr="00FB5623" w:rsidRDefault="008B5DEA">
      <w:r w:rsidRPr="00FB5623">
        <w:separator/>
      </w:r>
    </w:p>
    <w:p w:rsidR="008B5DEA" w:rsidRPr="00FB5623" w:rsidRDefault="008B5DEA"/>
  </w:endnote>
  <w:endnote w:type="continuationSeparator" w:id="0">
    <w:p w:rsidR="008B5DEA" w:rsidRPr="00FB5623" w:rsidRDefault="008B5DEA">
      <w:r w:rsidRPr="00FB5623">
        <w:continuationSeparator/>
      </w:r>
    </w:p>
    <w:p w:rsidR="008B5DEA" w:rsidRPr="00FB5623" w:rsidRDefault="008B5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23" w:rsidRDefault="00FB5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FB5623" w:rsidRDefault="00FB5623" w:rsidP="00FB5623">
    <w:pPr>
      <w:pStyle w:val="Footer"/>
      <w:jc w:val="center"/>
    </w:pPr>
    <w:r>
      <w:fldChar w:fldCharType="begin"/>
    </w:r>
    <w:r>
      <w:instrText xml:space="preserve"> PAGE  \* ArabicDash  \* MERGEFORMAT </w:instrText>
    </w:r>
    <w:r>
      <w:fldChar w:fldCharType="separate"/>
    </w:r>
    <w:r>
      <w:rPr>
        <w:noProof/>
      </w:rPr>
      <w:t>- 5 -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FB5623" w:rsidRDefault="00A3406C" w:rsidP="002E0D12">
    <w:pPr>
      <w:pStyle w:val="EPFooter"/>
    </w:pPr>
    <w:r w:rsidRPr="00FB5623">
      <w:tab/>
    </w:r>
    <w:r w:rsidRPr="00FB5623">
      <w:tab/>
    </w:r>
    <w:r w:rsidR="00110DDE" w:rsidRPr="00FB5623">
      <w:t>PE</w:t>
    </w:r>
    <w:r w:rsidR="00FB5623" w:rsidRPr="00FB5623">
      <w:t>661.647v01-00</w:t>
    </w:r>
  </w:p>
  <w:p w:rsidR="00AA1411" w:rsidRPr="00FB5623" w:rsidRDefault="00FB5623" w:rsidP="00342886">
    <w:pPr>
      <w:pStyle w:val="EPFooter2"/>
      <w:tabs>
        <w:tab w:val="clear" w:pos="4535"/>
        <w:tab w:val="center" w:pos="4536"/>
      </w:tabs>
      <w:ind w:left="-840"/>
    </w:pPr>
    <w:r w:rsidRPr="00FB5623">
      <w:fldChar w:fldCharType="begin"/>
    </w:r>
    <w:r w:rsidRPr="00FB5623">
      <w:instrText xml:space="preserve"> DOCPROPERTY "&lt;Extension&gt;" </w:instrText>
    </w:r>
    <w:r w:rsidRPr="00FB5623">
      <w:fldChar w:fldCharType="separate"/>
    </w:r>
    <w:r>
      <w:t>EL</w:t>
    </w:r>
    <w:r w:rsidRPr="00FB5623">
      <w:fldChar w:fldCharType="end"/>
    </w:r>
    <w:r w:rsidR="00AA1411" w:rsidRPr="00FB5623">
      <w:tab/>
    </w:r>
    <w:r w:rsidRPr="00FB5623">
      <w:rPr>
        <w:b w:val="0"/>
        <w:i/>
        <w:color w:val="C0C0C0"/>
        <w:sz w:val="22"/>
        <w:szCs w:val="22"/>
      </w:rPr>
      <w:t>Ενωμένη στην πολυμορφία</w:t>
    </w:r>
    <w:r w:rsidR="00AA1411" w:rsidRPr="00FB5623">
      <w:tab/>
    </w:r>
    <w:r w:rsidRPr="00FB5623">
      <w:fldChar w:fldCharType="begin"/>
    </w:r>
    <w:r w:rsidRPr="00FB5623">
      <w:instrText xml:space="preserve"> DOCPROPERTY "&lt;Extension&gt;" </w:instrText>
    </w:r>
    <w:r w:rsidRPr="00FB5623">
      <w:fldChar w:fldCharType="separate"/>
    </w:r>
    <w:r>
      <w:t>EL</w:t>
    </w:r>
    <w:r w:rsidRPr="00FB562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B0" w:rsidRPr="00FB5623" w:rsidRDefault="009844B0" w:rsidP="002E0D12">
    <w:pPr>
      <w:pStyle w:val="EPFooter"/>
    </w:pPr>
    <w:r w:rsidRPr="00FB5623">
      <w:tab/>
    </w:r>
    <w:r w:rsidRPr="00FB5623">
      <w:tab/>
    </w:r>
    <w:r w:rsidR="00110DDE" w:rsidRPr="00FB5623">
      <w:t>PE</w:t>
    </w:r>
    <w:r w:rsidR="00FB5623" w:rsidRPr="00FB5623">
      <w:t>661.647v01-00</w:t>
    </w:r>
  </w:p>
  <w:p w:rsidR="009844B0" w:rsidRPr="00FB5623" w:rsidRDefault="00494D50" w:rsidP="00342886">
    <w:pPr>
      <w:pStyle w:val="EPFooter2"/>
      <w:tabs>
        <w:tab w:val="clear" w:pos="4535"/>
        <w:tab w:val="center" w:pos="4536"/>
      </w:tabs>
      <w:ind w:left="-840"/>
    </w:pPr>
    <w:r w:rsidRPr="00FB5623">
      <w:fldChar w:fldCharType="begin"/>
    </w:r>
    <w:r w:rsidRPr="00FB5623">
      <w:instrText xml:space="preserve"> DOCPROPERTY "&lt;Extension&gt;" </w:instrText>
    </w:r>
    <w:r w:rsidRPr="00FB5623">
      <w:fldChar w:fldCharType="separate"/>
    </w:r>
    <w:r w:rsidR="00FB5623" w:rsidRPr="00FB5623">
      <w:t>EL</w:t>
    </w:r>
    <w:r w:rsidRPr="00FB5623">
      <w:fldChar w:fldCharType="end"/>
    </w:r>
    <w:r w:rsidR="009844B0" w:rsidRPr="00FB5623">
      <w:tab/>
    </w:r>
    <w:r w:rsidR="00FB5623" w:rsidRPr="00FB5623">
      <w:rPr>
        <w:b w:val="0"/>
        <w:i/>
        <w:color w:val="C0C0C0"/>
        <w:sz w:val="22"/>
        <w:szCs w:val="22"/>
      </w:rPr>
      <w:t>Ενωμένη στην πολυμορφία</w:t>
    </w:r>
    <w:r w:rsidR="009844B0" w:rsidRPr="00FB5623">
      <w:tab/>
    </w:r>
    <w:r w:rsidRPr="00FB5623">
      <w:fldChar w:fldCharType="begin"/>
    </w:r>
    <w:r w:rsidRPr="00FB5623">
      <w:instrText xml:space="preserve"> DOCPROPERTY "&lt;Extension&gt;" </w:instrText>
    </w:r>
    <w:r w:rsidRPr="00FB5623">
      <w:fldChar w:fldCharType="separate"/>
    </w:r>
    <w:r w:rsidR="00FB5623" w:rsidRPr="00FB5623">
      <w:t>EL</w:t>
    </w:r>
    <w:r w:rsidRPr="00FB56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EA" w:rsidRPr="00FB5623" w:rsidRDefault="008B5DEA">
      <w:r w:rsidRPr="00FB5623">
        <w:separator/>
      </w:r>
    </w:p>
    <w:p w:rsidR="008B5DEA" w:rsidRPr="00FB5623" w:rsidRDefault="008B5DEA"/>
  </w:footnote>
  <w:footnote w:type="continuationSeparator" w:id="0">
    <w:p w:rsidR="008B5DEA" w:rsidRPr="00FB5623" w:rsidRDefault="008B5DEA">
      <w:r w:rsidRPr="00FB5623">
        <w:continuationSeparator/>
      </w:r>
    </w:p>
    <w:p w:rsidR="008B5DEA" w:rsidRPr="00FB5623" w:rsidRDefault="008B5DEA"/>
  </w:footnote>
  <w:footnote w:id="1">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sz w:val="24"/>
          <w:szCs w:val="24"/>
        </w:rPr>
        <w:t xml:space="preserve"> </w:t>
      </w:r>
      <w:r w:rsidRPr="00FB5623">
        <w:rPr>
          <w:sz w:val="24"/>
          <w:szCs w:val="24"/>
        </w:rPr>
        <w:tab/>
      </w:r>
      <w:r w:rsidRPr="00FB5623">
        <w:rPr>
          <w:sz w:val="24"/>
          <w:szCs w:val="24"/>
        </w:rPr>
        <w:t>Γνώμη της 27ης Ιανουαρίου 2021 (δεν έχει ακόμη δημοσιευτεί στην Επίσημη Εφημερίδα).</w:t>
      </w:r>
    </w:p>
  </w:footnote>
  <w:footnote w:id="2">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sz w:val="24"/>
          <w:szCs w:val="24"/>
        </w:rPr>
        <w:t xml:space="preserve"> </w:t>
      </w:r>
      <w:r w:rsidRPr="00FB5623">
        <w:rPr>
          <w:sz w:val="24"/>
          <w:szCs w:val="24"/>
        </w:rPr>
        <w:tab/>
      </w:r>
      <w:r w:rsidRPr="00FB5623">
        <w:rPr>
          <w:sz w:val="24"/>
          <w:szCs w:val="24"/>
        </w:rPr>
        <w:t>Θέση του Ευρωπαϊκού Κοινοβουλίου της 11ης Μαρτίου 2021.</w:t>
      </w:r>
    </w:p>
  </w:footnote>
  <w:footnote w:id="3">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sz w:val="24"/>
          <w:szCs w:val="24"/>
        </w:rPr>
        <w:t xml:space="preserve"> </w:t>
      </w:r>
      <w:r w:rsidRPr="00FB5623">
        <w:rPr>
          <w:sz w:val="24"/>
          <w:szCs w:val="24"/>
        </w:rPr>
        <w:tab/>
      </w:r>
      <w:r w:rsidRPr="00FB5623">
        <w:rPr>
          <w:sz w:val="24"/>
          <w:szCs w:val="24"/>
        </w:rPr>
        <w:t>Απόφαση 2003/17/ΕΚ του Συμβουλίου, της 16ης Δεκεμβρίου 2002, για την ισοδυναμία των καλλιεργητικών ελέγχων των σποροπαραγωγικών καλλιεργειών που διενεργούνται σε τρίτες χώρες και την ισοδυναμία των σπόρων προς σπορά που παράγονται σε τρίτες χώρες (ΕΕ L 8 της 14.1.2003, σ. 10).</w:t>
      </w:r>
    </w:p>
  </w:footnote>
  <w:footnote w:id="4">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sz w:val="24"/>
          <w:szCs w:val="24"/>
        </w:rPr>
        <w:t xml:space="preserve"> </w:t>
      </w:r>
      <w:r w:rsidRPr="00FB5623">
        <w:rPr>
          <w:sz w:val="24"/>
          <w:szCs w:val="24"/>
        </w:rPr>
        <w:tab/>
      </w:r>
      <w:r w:rsidRPr="00FB5623">
        <w:rPr>
          <w:sz w:val="24"/>
          <w:szCs w:val="24"/>
        </w:rPr>
        <w:t>Απόφαση 2005/834/ΕΚ του Συμβουλίου, της 8ης Νοεμβρίου 2005, περί της ισοδυναμίας των ελέγχων των πρακτικών για τις διατηρητέες ποικιλίες που διεξάγονται σε ορισμένες τρίτες χώρες και για την τροποποίηση της απόφασης 2003/17/ΕΚ (ΕΕ L 312 της 29.11.2005, σ. 51).</w:t>
      </w:r>
    </w:p>
  </w:footnote>
  <w:footnote w:id="5">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sz w:val="24"/>
          <w:szCs w:val="24"/>
        </w:rPr>
        <w:t xml:space="preserve"> </w:t>
      </w:r>
      <w:r w:rsidRPr="00FB5623">
        <w:rPr>
          <w:sz w:val="24"/>
          <w:szCs w:val="24"/>
        </w:rPr>
        <w:tab/>
      </w:r>
      <w:r w:rsidRPr="00FB5623">
        <w:rPr>
          <w:sz w:val="24"/>
          <w:szCs w:val="24"/>
        </w:rPr>
        <w:t>Οδηγία 66/401/ΕΟΚ του Συμβουλίου, της 14ης Ιουνίου 1966, περί εμπορίας σπόρων προς σπορά κτηνοτροφικών φυτών (ΕΕ L 125 της 11.7.1966, σ. 2298).</w:t>
      </w:r>
    </w:p>
  </w:footnote>
  <w:footnote w:id="6">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sz w:val="24"/>
          <w:szCs w:val="24"/>
        </w:rPr>
        <w:t xml:space="preserve"> </w:t>
      </w:r>
      <w:r w:rsidRPr="00FB5623">
        <w:rPr>
          <w:sz w:val="24"/>
          <w:szCs w:val="24"/>
        </w:rPr>
        <w:tab/>
      </w:r>
      <w:r w:rsidRPr="00FB5623">
        <w:rPr>
          <w:sz w:val="24"/>
          <w:szCs w:val="24"/>
        </w:rPr>
        <w:t>Οδηγία 66/402/ΕΟΚ του Συμβουλίου, της 14ης Ιουνίου 1966, περί εμπορίας σπόρων δημητριακών προς σπορά (ΕΕ L 125 της 11.7.1966, σ. 2309).</w:t>
      </w:r>
    </w:p>
  </w:footnote>
  <w:footnote w:id="7">
    <w:p w:rsidR="00FB5623" w:rsidRPr="00FB5623" w:rsidRDefault="00FB5623" w:rsidP="00FB5623">
      <w:pPr>
        <w:pStyle w:val="NormalWeb"/>
        <w:ind w:left="567" w:hanging="567"/>
        <w:rPr>
          <w:b/>
          <w:i/>
        </w:rPr>
      </w:pPr>
      <w:r w:rsidRPr="00FB5623">
        <w:rPr>
          <w:rStyle w:val="FootnoteReference"/>
        </w:rPr>
        <w:footnoteRef/>
      </w:r>
      <w:r w:rsidRPr="00FB5623">
        <w:t xml:space="preserve"> </w:t>
      </w:r>
      <w:r w:rsidRPr="00FB5623">
        <w:tab/>
      </w:r>
      <w:r w:rsidRPr="00FB5623">
        <w:t>Οδηγία 2002/53/ΕΚ του Συμβουλίου, της 13ης Ιουνίου 2002, περί του κοινού καταλόγου ποικιλιών καλλιεργούμενων φυτικών ειδών (</w:t>
      </w:r>
      <w:r w:rsidRPr="00FB5623">
        <w:rPr>
          <w:rStyle w:val="Emphasis"/>
          <w:rFonts w:ascii="Times New Roman" w:hAnsi="Times New Roman" w:cs="Times New Roman"/>
          <w:b w:val="0"/>
          <w:i w:val="0"/>
        </w:rPr>
        <w:t>ΕΕ L 193 της 20.7.2002, σ. 1).</w:t>
      </w:r>
    </w:p>
  </w:footnote>
  <w:footnote w:id="8">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sz w:val="24"/>
          <w:szCs w:val="24"/>
        </w:rPr>
        <w:t xml:space="preserve"> </w:t>
      </w:r>
      <w:r w:rsidRPr="00FB5623">
        <w:rPr>
          <w:sz w:val="24"/>
          <w:szCs w:val="24"/>
        </w:rPr>
        <w:tab/>
      </w:r>
      <w:r w:rsidRPr="00FB5623">
        <w:rPr>
          <w:sz w:val="24"/>
          <w:szCs w:val="24"/>
        </w:rPr>
        <w:t>Οδηγία 2002/54/ΕΚ του Συμβουλίου, της 13ης Ιουνίου 2002, περί εμπορίας σπόρων τεύτλων προς σπορά (ΕΕ L </w:t>
      </w:r>
      <w:r w:rsidRPr="00FB5623">
        <w:rPr>
          <w:iCs/>
          <w:sz w:val="24"/>
          <w:szCs w:val="24"/>
          <w:shd w:val="clear" w:color="auto" w:fill="FFFFFF"/>
        </w:rPr>
        <w:t>193 της 20.7.2002, σ. 12).</w:t>
      </w:r>
    </w:p>
  </w:footnote>
  <w:footnote w:id="9">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sz w:val="24"/>
          <w:szCs w:val="24"/>
        </w:rPr>
        <w:t xml:space="preserve"> </w:t>
      </w:r>
      <w:r w:rsidRPr="00FB5623">
        <w:rPr>
          <w:sz w:val="24"/>
          <w:szCs w:val="24"/>
        </w:rPr>
        <w:tab/>
      </w:r>
      <w:r w:rsidRPr="00FB5623">
        <w:rPr>
          <w:sz w:val="24"/>
          <w:szCs w:val="24"/>
        </w:rPr>
        <w:t>Οδηγία 2002/55/ΕΚ του Συμβουλίου, της 13ης Ιουνίου 2002, περί εμπορίας σπόρων προς σπορά κηπευτικών (</w:t>
      </w:r>
      <w:r w:rsidRPr="00FB5623">
        <w:rPr>
          <w:rStyle w:val="Emphasis"/>
          <w:rFonts w:ascii="Times New Roman" w:hAnsi="Times New Roman" w:cs="Times New Roman"/>
          <w:b w:val="0"/>
          <w:i w:val="0"/>
          <w:sz w:val="24"/>
          <w:szCs w:val="24"/>
        </w:rPr>
        <w:t>ΕΕ L 193 της 20.7.2002, σ. 33).</w:t>
      </w:r>
    </w:p>
  </w:footnote>
  <w:footnote w:id="10">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sz w:val="24"/>
          <w:szCs w:val="24"/>
        </w:rPr>
        <w:t xml:space="preserve"> </w:t>
      </w:r>
      <w:r w:rsidRPr="00FB5623">
        <w:rPr>
          <w:sz w:val="24"/>
          <w:szCs w:val="24"/>
        </w:rPr>
        <w:tab/>
      </w:r>
      <w:r w:rsidRPr="00FB5623">
        <w:rPr>
          <w:sz w:val="24"/>
          <w:szCs w:val="24"/>
        </w:rPr>
        <w:t>Οδηγία 2002/57/ΕΚ του Συμβουλίου, της 13ης Ιουνίου 2002, περί εμπορίας των σπόρων προς σπορά των ελαιούχων και κλωστικών φυτών (</w:t>
      </w:r>
      <w:r w:rsidRPr="00FB5623">
        <w:rPr>
          <w:rStyle w:val="Emphasis"/>
          <w:rFonts w:ascii="Times New Roman" w:hAnsi="Times New Roman" w:cs="Times New Roman"/>
          <w:b w:val="0"/>
          <w:i w:val="0"/>
          <w:sz w:val="24"/>
          <w:szCs w:val="24"/>
        </w:rPr>
        <w:t>ΕΕ L 193 της 20.7.2002, σ. 74).</w:t>
      </w:r>
    </w:p>
  </w:footnote>
  <w:footnote w:id="11">
    <w:p w:rsidR="00FB5623" w:rsidRPr="00FB5623" w:rsidRDefault="00FB5623" w:rsidP="00FB5623">
      <w:pPr>
        <w:pStyle w:val="FootnoteText"/>
        <w:ind w:left="567" w:hanging="567"/>
        <w:rPr>
          <w:sz w:val="24"/>
          <w:szCs w:val="24"/>
        </w:rPr>
      </w:pPr>
      <w:r w:rsidRPr="00FB5623">
        <w:rPr>
          <w:rStyle w:val="FootnoteReference"/>
          <w:sz w:val="24"/>
          <w:szCs w:val="24"/>
        </w:rPr>
        <w:footnoteRef/>
      </w:r>
      <w:r w:rsidRPr="00FB5623">
        <w:rPr>
          <w:iCs/>
          <w:sz w:val="24"/>
          <w:szCs w:val="24"/>
        </w:rPr>
        <w:t xml:space="preserve"> </w:t>
      </w:r>
      <w:r w:rsidRPr="00FB5623">
        <w:rPr>
          <w:iCs/>
          <w:sz w:val="24"/>
          <w:szCs w:val="24"/>
        </w:rPr>
        <w:tab/>
      </w:r>
      <w:r w:rsidRPr="00FB5623">
        <w:rPr>
          <w:iCs/>
          <w:sz w:val="24"/>
          <w:szCs w:val="24"/>
        </w:rPr>
        <w:t>ΕΕ L 29 της 31.1.2020, σ.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23" w:rsidRDefault="00FB5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23" w:rsidRDefault="00FB5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23" w:rsidRDefault="00FB5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Model&gt;" w:val="TA_TC"/>
    <w:docVar w:name="Date" w:val="11/03/2021"/>
    <w:docVar w:name="DOCDT" w:val="11/03/2021"/>
    <w:docVar w:name="LastEditedSection" w:val=" 1"/>
    <w:docVar w:name="LVLMNU" w:val="1"/>
    <w:docVar w:name="Num-PE" w:val="661.647v01-00"/>
    <w:docVar w:name="strDocTypeID" w:val="TA_TC"/>
    <w:docVar w:name="strSubDir" w:val="tem"/>
    <w:docVar w:name="TA_Type" w:val="TA_TC"/>
    <w:docVar w:name="Titre" w:val="που καθορίσθηκε σε πρώτη ανάγνωση στις 11 Μαρτίου 2021 εν όψει της έγκρισης απόφασης (ΕΕ) 2021/... του Ευρωπαϊκού Κοινοβουλίου και του Συμβουλίου για την τροποποίηση των αποφάσεων 2003/17/ΕΚ και 2005/834/ΕΚ του Συμβουλίου όσον αφορά την ισοδυναμία των καλλιεργητικών ελέγχων και την ισοδυναμία των ελέγχων των πρακτικών για τις διατηρητέες ποικιλίες καλλιεργούμενων φυτικών ειδών που διεξάγονται στο Ηνωμένο Βασίλειο (EP-PE_TC1-COD(2020)0379)"/>
    <w:docVar w:name="Titre-Type" w:val="ΘΕΣΗ ΤΟΥ ΕΥΡΩΠΑΪΚΟΥ ΚΟΙΝΟΒΟΥΛΙΟΥ"/>
    <w:docVar w:name="TXTLANGUE" w:val="EL"/>
    <w:docVar w:name="TXTLANGUEMIN" w:val="el"/>
    <w:docVar w:name="TXTNRCOD" w:val="0379"/>
    <w:docVar w:name="TXTNRPE" w:val="661.647v01-00"/>
    <w:docVar w:name="TXTPEorAP" w:val="PE"/>
    <w:docVar w:name="TXTREFSOURCE" w:val="EP-PE_TC1-COD(2020)0379"/>
    <w:docVar w:name="TXTROUTE" w:val="\tempdocEL.docx"/>
    <w:docVar w:name="TXTRULE" w:val="που καθορίσθηκε σε πρώτη ανάγνωση στις 11 Μαρτίου 2021 εν όψει της έγκρισης απόφασης (ΕΕ) 2021/... του Ευρωπαϊκού Κοινοβουλίου και του Συμβουλίου για την τροποποίηση των αποφάσεων 2003/17/ΕΚ και 2005/834/ΕΚ του Συμβουλίου όσον αφορά την ισοδυναμία των καλλιεργητικών ελέγχων και την ισοδυναμία των ελέγχων των πρακτικών για τις διατηρητέες ποικιλίες καλλιεργούμενων φυτικών ειδών που διεξάγονται στο Ηνωμένο Βασίλειο"/>
    <w:docVar w:name="TXTRULE2" w:val="!ZZRULE2!"/>
    <w:docVar w:name="TXTRULE3" w:val="!ZZRULE3!"/>
    <w:docVar w:name="TXTYEAR" w:val="2020"/>
  </w:docVars>
  <w:rsids>
    <w:rsidRoot w:val="008B5DEA"/>
    <w:rsid w:val="00027017"/>
    <w:rsid w:val="00043BA5"/>
    <w:rsid w:val="000474B0"/>
    <w:rsid w:val="000502A5"/>
    <w:rsid w:val="000756C8"/>
    <w:rsid w:val="0009459A"/>
    <w:rsid w:val="000C620D"/>
    <w:rsid w:val="000E5181"/>
    <w:rsid w:val="000F2FE2"/>
    <w:rsid w:val="00110DDE"/>
    <w:rsid w:val="00123692"/>
    <w:rsid w:val="001502E1"/>
    <w:rsid w:val="00152E08"/>
    <w:rsid w:val="001A7617"/>
    <w:rsid w:val="002215E8"/>
    <w:rsid w:val="00243603"/>
    <w:rsid w:val="00253BB0"/>
    <w:rsid w:val="002611DA"/>
    <w:rsid w:val="002747B0"/>
    <w:rsid w:val="00287114"/>
    <w:rsid w:val="002A2A21"/>
    <w:rsid w:val="002B02A0"/>
    <w:rsid w:val="002E0D12"/>
    <w:rsid w:val="002E103F"/>
    <w:rsid w:val="003058E0"/>
    <w:rsid w:val="00320173"/>
    <w:rsid w:val="0032447B"/>
    <w:rsid w:val="00330FEA"/>
    <w:rsid w:val="00342886"/>
    <w:rsid w:val="003440CF"/>
    <w:rsid w:val="00376230"/>
    <w:rsid w:val="003813A9"/>
    <w:rsid w:val="003953F6"/>
    <w:rsid w:val="00395B64"/>
    <w:rsid w:val="003F247C"/>
    <w:rsid w:val="00407D75"/>
    <w:rsid w:val="004379F2"/>
    <w:rsid w:val="00482700"/>
    <w:rsid w:val="00494D50"/>
    <w:rsid w:val="00523372"/>
    <w:rsid w:val="00580C51"/>
    <w:rsid w:val="005A1111"/>
    <w:rsid w:val="005C4BEC"/>
    <w:rsid w:val="005C637F"/>
    <w:rsid w:val="005E195A"/>
    <w:rsid w:val="005F6117"/>
    <w:rsid w:val="00611C94"/>
    <w:rsid w:val="00612181"/>
    <w:rsid w:val="00624C56"/>
    <w:rsid w:val="00625E53"/>
    <w:rsid w:val="006305F0"/>
    <w:rsid w:val="0065496C"/>
    <w:rsid w:val="006A5C48"/>
    <w:rsid w:val="006D2788"/>
    <w:rsid w:val="006E3857"/>
    <w:rsid w:val="006F4902"/>
    <w:rsid w:val="00733242"/>
    <w:rsid w:val="007567DF"/>
    <w:rsid w:val="007C5179"/>
    <w:rsid w:val="007D1D58"/>
    <w:rsid w:val="007D769C"/>
    <w:rsid w:val="00821B14"/>
    <w:rsid w:val="00830287"/>
    <w:rsid w:val="00846F4F"/>
    <w:rsid w:val="008639EF"/>
    <w:rsid w:val="008B5DEA"/>
    <w:rsid w:val="008C5553"/>
    <w:rsid w:val="008D3F7E"/>
    <w:rsid w:val="008D61B8"/>
    <w:rsid w:val="008D715A"/>
    <w:rsid w:val="00910A8D"/>
    <w:rsid w:val="0096592A"/>
    <w:rsid w:val="009844B0"/>
    <w:rsid w:val="009B5D8A"/>
    <w:rsid w:val="00A04F8B"/>
    <w:rsid w:val="00A20422"/>
    <w:rsid w:val="00A3406C"/>
    <w:rsid w:val="00A51CB9"/>
    <w:rsid w:val="00A51D8B"/>
    <w:rsid w:val="00AA1411"/>
    <w:rsid w:val="00AA2401"/>
    <w:rsid w:val="00AA4458"/>
    <w:rsid w:val="00AC3AA6"/>
    <w:rsid w:val="00B1598D"/>
    <w:rsid w:val="00B3321B"/>
    <w:rsid w:val="00B854C4"/>
    <w:rsid w:val="00B86D85"/>
    <w:rsid w:val="00B94A60"/>
    <w:rsid w:val="00BE0112"/>
    <w:rsid w:val="00BE4A46"/>
    <w:rsid w:val="00BE4AC1"/>
    <w:rsid w:val="00C00125"/>
    <w:rsid w:val="00C52FA5"/>
    <w:rsid w:val="00C539FA"/>
    <w:rsid w:val="00CC358E"/>
    <w:rsid w:val="00D06995"/>
    <w:rsid w:val="00D12572"/>
    <w:rsid w:val="00D217F0"/>
    <w:rsid w:val="00D51D39"/>
    <w:rsid w:val="00D5737D"/>
    <w:rsid w:val="00D65CB7"/>
    <w:rsid w:val="00DC49CB"/>
    <w:rsid w:val="00DD1790"/>
    <w:rsid w:val="00DD59A2"/>
    <w:rsid w:val="00DE1919"/>
    <w:rsid w:val="00E0132F"/>
    <w:rsid w:val="00E37826"/>
    <w:rsid w:val="00E75238"/>
    <w:rsid w:val="00E91480"/>
    <w:rsid w:val="00ED7C88"/>
    <w:rsid w:val="00EF4EBC"/>
    <w:rsid w:val="00F82DEC"/>
    <w:rsid w:val="00F9322F"/>
    <w:rsid w:val="00F946C8"/>
    <w:rsid w:val="00F97088"/>
    <w:rsid w:val="00FA48DA"/>
    <w:rsid w:val="00FA7A43"/>
    <w:rsid w:val="00FB562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8CC30"/>
  <w15:chartTrackingRefBased/>
  <w15:docId w15:val="{F4D50227-F7FB-4A6E-B4CA-CE9F5F29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95"/>
    <w:pPr>
      <w:widowControl w:val="0"/>
    </w:pPr>
    <w:rPr>
      <w:sz w:val="24"/>
      <w:szCs w:val="24"/>
      <w:lang w:val="el-GR"/>
    </w:rPr>
  </w:style>
  <w:style w:type="paragraph" w:styleId="Heading1">
    <w:name w:val="heading 1"/>
    <w:basedOn w:val="Normal"/>
    <w:next w:val="Normal"/>
    <w:link w:val="Heading1Char"/>
    <w:semiHidden/>
    <w:qFormat/>
    <w:rsid w:val="00E378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F6117"/>
    <w:pPr>
      <w:tabs>
        <w:tab w:val="center" w:pos="4513"/>
        <w:tab w:val="right" w:pos="9026"/>
      </w:tabs>
    </w:pPr>
  </w:style>
  <w:style w:type="paragraph" w:styleId="BodyTextIndent">
    <w:name w:val="Body Text Indent"/>
    <w:basedOn w:val="Normal"/>
    <w:semiHidden/>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character" w:customStyle="1" w:styleId="FooterChar">
    <w:name w:val="Footer Char"/>
    <w:basedOn w:val="DefaultParagraphFont"/>
    <w:link w:val="Footer"/>
    <w:semiHidden/>
    <w:rsid w:val="00D06995"/>
    <w:rPr>
      <w:sz w:val="24"/>
      <w:szCs w:val="24"/>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C358E"/>
    <w:pPr>
      <w:jc w:val="center"/>
    </w:pPr>
    <w:rPr>
      <w:rFonts w:ascii="Arial" w:hAnsi="Arial" w:cs="Arial"/>
      <w:i/>
      <w:sz w:val="22"/>
      <w:szCs w:val="22"/>
    </w:rPr>
  </w:style>
  <w:style w:type="paragraph" w:customStyle="1" w:styleId="LineTop">
    <w:name w:val="LineTop"/>
    <w:basedOn w:val="Normal"/>
    <w:next w:val="Normal"/>
    <w:rsid w:val="00BE4AC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0FEA"/>
    <w:pPr>
      <w:pBdr>
        <w:bottom w:val="single" w:sz="4" w:space="1" w:color="auto"/>
      </w:pBdr>
      <w:spacing w:after="240"/>
      <w:jc w:val="center"/>
    </w:pPr>
    <w:rPr>
      <w:rFonts w:ascii="Arial" w:hAnsi="Arial" w:cs="Arial"/>
      <w:sz w:val="16"/>
      <w:szCs w:val="16"/>
    </w:rPr>
  </w:style>
  <w:style w:type="character" w:customStyle="1" w:styleId="HideTWBInt">
    <w:name w:val="HideTWBInt"/>
    <w:rsid w:val="00D06995"/>
    <w:rPr>
      <w:rFonts w:ascii="Arial" w:hAnsi="Arial" w:cs="Arial"/>
      <w:vanish/>
      <w:color w:val="808080"/>
      <w:sz w:val="20"/>
    </w:rPr>
  </w:style>
  <w:style w:type="paragraph" w:customStyle="1" w:styleId="CoverDocType">
    <w:name w:val="CoverDocType"/>
    <w:basedOn w:val="Normal"/>
    <w:rsid w:val="00BE0112"/>
    <w:pPr>
      <w:ind w:left="1418"/>
    </w:pPr>
    <w:rPr>
      <w:rFonts w:ascii="Arial" w:hAnsi="Arial"/>
      <w:b/>
      <w:bCs/>
      <w:sz w:val="48"/>
    </w:rPr>
  </w:style>
  <w:style w:type="paragraph" w:customStyle="1" w:styleId="EPFooter2">
    <w:name w:val="EPFooter2"/>
    <w:basedOn w:val="Normal"/>
    <w:next w:val="Normal"/>
    <w:rsid w:val="00CC358E"/>
    <w:pPr>
      <w:tabs>
        <w:tab w:val="center" w:pos="4535"/>
        <w:tab w:val="right" w:pos="9921"/>
      </w:tabs>
      <w:ind w:left="-850" w:right="-850"/>
    </w:pPr>
    <w:rPr>
      <w:rFonts w:ascii="Arial" w:hAnsi="Arial" w:cs="Arial"/>
      <w:b/>
      <w:sz w:val="48"/>
      <w:szCs w:val="20"/>
    </w:rPr>
  </w:style>
  <w:style w:type="character" w:styleId="PageNumber">
    <w:name w:val="page number"/>
    <w:basedOn w:val="DefaultParagraphFont"/>
    <w:semiHidden/>
    <w:rsid w:val="00BE4AC1"/>
  </w:style>
  <w:style w:type="paragraph" w:styleId="Header">
    <w:name w:val="header"/>
    <w:basedOn w:val="Normal"/>
    <w:link w:val="HeaderChar"/>
    <w:semiHidden/>
    <w:rsid w:val="00A3406C"/>
    <w:pPr>
      <w:tabs>
        <w:tab w:val="center" w:pos="4513"/>
        <w:tab w:val="right" w:pos="9026"/>
      </w:tabs>
    </w:pPr>
  </w:style>
  <w:style w:type="character" w:customStyle="1" w:styleId="HeaderChar">
    <w:name w:val="Header Char"/>
    <w:link w:val="Header"/>
    <w:semiHidden/>
    <w:rsid w:val="00BE0112"/>
    <w:rPr>
      <w:sz w:val="24"/>
      <w:szCs w:val="24"/>
    </w:rPr>
  </w:style>
  <w:style w:type="paragraph" w:styleId="EndnoteText">
    <w:name w:val="endnote text"/>
    <w:basedOn w:val="Normal"/>
    <w:link w:val="EndnoteTextChar"/>
    <w:semiHidden/>
    <w:rsid w:val="006305F0"/>
    <w:rPr>
      <w:sz w:val="20"/>
      <w:szCs w:val="20"/>
    </w:rPr>
  </w:style>
  <w:style w:type="character" w:customStyle="1" w:styleId="EndnoteTextChar">
    <w:name w:val="Endnote Text Char"/>
    <w:link w:val="EndnoteText"/>
    <w:semiHidden/>
    <w:rsid w:val="00BE0112"/>
  </w:style>
  <w:style w:type="character" w:styleId="EndnoteReference">
    <w:name w:val="endnote reference"/>
    <w:semiHidden/>
    <w:rsid w:val="006305F0"/>
    <w:rPr>
      <w:vertAlign w:val="superscript"/>
    </w:rPr>
  </w:style>
  <w:style w:type="paragraph" w:styleId="FootnoteText">
    <w:name w:val="footnote text"/>
    <w:basedOn w:val="Normal"/>
    <w:link w:val="FootnoteTextChar"/>
    <w:semiHidden/>
    <w:rsid w:val="006305F0"/>
    <w:rPr>
      <w:sz w:val="20"/>
      <w:szCs w:val="20"/>
    </w:rPr>
  </w:style>
  <w:style w:type="character" w:customStyle="1" w:styleId="FootnoteTextChar">
    <w:name w:val="Footnote Text Char"/>
    <w:link w:val="FootnoteText"/>
    <w:semiHidden/>
    <w:rsid w:val="005C637F"/>
  </w:style>
  <w:style w:type="character" w:styleId="FootnoteReference">
    <w:name w:val="footnote reference"/>
    <w:semiHidden/>
    <w:rsid w:val="006305F0"/>
    <w:rPr>
      <w:vertAlign w:val="superscript"/>
    </w:rPr>
  </w:style>
  <w:style w:type="paragraph" w:customStyle="1" w:styleId="EPName">
    <w:name w:val="EPName"/>
    <w:basedOn w:val="Normal"/>
    <w:rsid w:val="00580C51"/>
    <w:pPr>
      <w:spacing w:before="80" w:after="80"/>
    </w:pPr>
    <w:rPr>
      <w:rFonts w:ascii="Arial Narrow" w:hAnsi="Arial Narrow" w:cs="Arial"/>
      <w:b/>
      <w:sz w:val="32"/>
      <w:szCs w:val="22"/>
    </w:rPr>
  </w:style>
  <w:style w:type="paragraph" w:customStyle="1" w:styleId="EPTerm">
    <w:name w:val="EPTerm"/>
    <w:basedOn w:val="Normal"/>
    <w:next w:val="Normal"/>
    <w:rsid w:val="00580C51"/>
    <w:pPr>
      <w:spacing w:after="80"/>
    </w:pPr>
    <w:rPr>
      <w:rFonts w:ascii="Arial" w:hAnsi="Arial" w:cs="Arial"/>
      <w:sz w:val="20"/>
      <w:szCs w:val="22"/>
    </w:rPr>
  </w:style>
  <w:style w:type="paragraph" w:customStyle="1" w:styleId="EPLogo">
    <w:name w:val="EPLogo"/>
    <w:basedOn w:val="Normal"/>
    <w:qFormat/>
    <w:rsid w:val="00580C51"/>
    <w:pPr>
      <w:jc w:val="right"/>
    </w:pPr>
    <w:rPr>
      <w:szCs w:val="20"/>
    </w:rPr>
  </w:style>
  <w:style w:type="paragraph" w:customStyle="1" w:styleId="CoverDocType24a">
    <w:name w:val="CoverDocType24a"/>
    <w:basedOn w:val="Normal"/>
    <w:rsid w:val="00BE0112"/>
    <w:pPr>
      <w:spacing w:after="480"/>
      <w:ind w:left="1418"/>
    </w:pPr>
    <w:rPr>
      <w:rFonts w:ascii="Arial" w:hAnsi="Arial"/>
      <w:b/>
      <w:bCs/>
      <w:sz w:val="48"/>
    </w:rPr>
  </w:style>
  <w:style w:type="paragraph" w:customStyle="1" w:styleId="CoverNormal">
    <w:name w:val="CoverNormal"/>
    <w:basedOn w:val="Normal"/>
    <w:rsid w:val="00BE0112"/>
    <w:pPr>
      <w:ind w:left="1418"/>
    </w:pPr>
  </w:style>
  <w:style w:type="paragraph" w:customStyle="1" w:styleId="EPFooter">
    <w:name w:val="EPFooter"/>
    <w:basedOn w:val="Normal"/>
    <w:rsid w:val="005F6117"/>
    <w:pPr>
      <w:tabs>
        <w:tab w:val="center" w:pos="4535"/>
        <w:tab w:val="right" w:pos="9071"/>
      </w:tabs>
      <w:spacing w:before="240" w:after="240"/>
    </w:pPr>
    <w:rPr>
      <w:sz w:val="22"/>
    </w:rPr>
  </w:style>
  <w:style w:type="character" w:customStyle="1" w:styleId="Heading1Char">
    <w:name w:val="Heading 1 Char"/>
    <w:basedOn w:val="DefaultParagraphFont"/>
    <w:link w:val="Heading1"/>
    <w:semiHidden/>
    <w:rsid w:val="00E37826"/>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37826"/>
    <w:pPr>
      <w:spacing w:after="240"/>
    </w:pPr>
  </w:style>
  <w:style w:type="paragraph" w:customStyle="1" w:styleId="CoverReference">
    <w:name w:val="CoverReference"/>
    <w:basedOn w:val="Normal"/>
    <w:rsid w:val="00D06995"/>
    <w:pPr>
      <w:spacing w:before="1080"/>
      <w:jc w:val="right"/>
    </w:pPr>
    <w:rPr>
      <w:rFonts w:ascii="Arial" w:hAnsi="Arial" w:cs="Arial"/>
      <w:b/>
      <w:szCs w:val="20"/>
    </w:rPr>
  </w:style>
  <w:style w:type="paragraph" w:customStyle="1" w:styleId="CoverDate">
    <w:name w:val="CoverDate"/>
    <w:basedOn w:val="Normal"/>
    <w:rsid w:val="00D06995"/>
    <w:pPr>
      <w:spacing w:before="240" w:after="1200"/>
    </w:pPr>
    <w:rPr>
      <w:szCs w:val="20"/>
    </w:rPr>
  </w:style>
  <w:style w:type="paragraph" w:customStyle="1" w:styleId="HeadingCenter24a">
    <w:name w:val="HeadingCenter24a"/>
    <w:basedOn w:val="Normal"/>
    <w:rsid w:val="008D715A"/>
    <w:pPr>
      <w:spacing w:after="480"/>
      <w:jc w:val="center"/>
    </w:pPr>
    <w:rPr>
      <w:b/>
    </w:rPr>
  </w:style>
  <w:style w:type="paragraph" w:styleId="NormalWeb">
    <w:name w:val="Normal (Web)"/>
    <w:basedOn w:val="Normal"/>
    <w:rsid w:val="00FB5623"/>
  </w:style>
  <w:style w:type="character" w:styleId="Emphasis">
    <w:name w:val="Emphasis"/>
    <w:basedOn w:val="DefaultParagraphFont"/>
    <w:uiPriority w:val="20"/>
    <w:qFormat/>
    <w:rsid w:val="00FB5623"/>
    <w:rPr>
      <w:rFonts w:ascii="Calibri" w:hAnsi="Calibri" w:cs="Calibri" w:hint="default"/>
      <w:b/>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E233-F6A4-47A2-87A2-A2706C37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1379</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KOLOKYTHIA Amalia</dc:creator>
  <cp:keywords/>
  <cp:lastModifiedBy>KOLOKYTHIA Amalia</cp:lastModifiedBy>
  <cp:revision>2</cp:revision>
  <dcterms:created xsi:type="dcterms:W3CDTF">2021-03-16T08:42:00Z</dcterms:created>
  <dcterms:modified xsi:type="dcterms:W3CDTF">2021-03-16T08:42:00Z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Model&gt;">
    <vt:lpwstr>TA_TC</vt:lpwstr>
  </property>
  <property fmtid="{D5CDD505-2E9C-101B-9397-08002B2CF9AE}" pid="4" name="&lt;Type&gt;">
    <vt:lpwstr/>
  </property>
  <property fmtid="{D5CDD505-2E9C-101B-9397-08002B2CF9AE}" pid="5" name="PE number">
    <vt:lpwstr>661.647v01-00</vt:lpwstr>
  </property>
  <property fmtid="{D5CDD505-2E9C-101B-9397-08002B2CF9AE}" pid="6" name="Created with">
    <vt:lpwstr>9.10.0 Build [20210120]</vt:lpwstr>
  </property>
  <property fmtid="{D5CDD505-2E9C-101B-9397-08002B2CF9AE}" pid="7" name="LastEdited with">
    <vt:lpwstr>9.10.0 Build [20210120]</vt:lpwstr>
  </property>
  <property fmtid="{D5CDD505-2E9C-101B-9397-08002B2CF9AE}" pid="8" name="&lt;FdR&gt;">
    <vt:lpwstr>tempdoc</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\tempdocEL.docx</vt:lpwstr>
  </property>
</Properties>
</file>