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494D50" w:rsidRPr="00D75C92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494D50" w:rsidRPr="00D75C92" w:rsidRDefault="00B15A17" w:rsidP="00C85D0F">
            <w:pPr>
              <w:pStyle w:val="EPName"/>
            </w:pPr>
            <w:bookmarkStart w:id="0" w:name="_GoBack"/>
            <w:bookmarkEnd w:id="0"/>
            <w:r w:rsidRPr="00D75C92">
              <w:t>Európai Parlament</w:t>
            </w:r>
          </w:p>
          <w:p w:rsidR="00494D50" w:rsidRPr="00D75C92" w:rsidRDefault="00D75C92" w:rsidP="00D75C92">
            <w:pPr>
              <w:pStyle w:val="EPTerm"/>
            </w:pPr>
            <w:r w:rsidRPr="00D75C92">
              <w:t>2019-2024</w:t>
            </w:r>
          </w:p>
        </w:tc>
        <w:tc>
          <w:tcPr>
            <w:tcW w:w="2268" w:type="dxa"/>
            <w:shd w:val="clear" w:color="auto" w:fill="auto"/>
          </w:tcPr>
          <w:p w:rsidR="00494D50" w:rsidRPr="00D75C92" w:rsidRDefault="00494D50" w:rsidP="00C85D0F">
            <w:pPr>
              <w:pStyle w:val="EPLogo"/>
            </w:pPr>
            <w:r w:rsidRPr="00D75C92">
              <w:drawing>
                <wp:inline distT="0" distB="0" distL="0" distR="0" wp14:anchorId="4B8BE00E" wp14:editId="501F4E6E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AC1" w:rsidRPr="00D75C92" w:rsidRDefault="00BE4AC1" w:rsidP="00BE4AC1">
      <w:pPr>
        <w:pStyle w:val="LineTop"/>
      </w:pPr>
    </w:p>
    <w:p w:rsidR="00BE4AC1" w:rsidRPr="00D75C92" w:rsidRDefault="00B15A17" w:rsidP="00BE4AC1">
      <w:pPr>
        <w:pStyle w:val="EPBody"/>
      </w:pPr>
      <w:r w:rsidRPr="00D75C92">
        <w:t>Egységes szerkezetbe foglalt jogalkotási dokumentum</w:t>
      </w:r>
    </w:p>
    <w:p w:rsidR="00BE4AC1" w:rsidRPr="00D75C92" w:rsidRDefault="00BE4AC1" w:rsidP="00330FEA">
      <w:pPr>
        <w:pStyle w:val="LineBottom"/>
      </w:pPr>
    </w:p>
    <w:p w:rsidR="00D06995" w:rsidRPr="00D75C92" w:rsidRDefault="00D75C92" w:rsidP="00D06995">
      <w:pPr>
        <w:pStyle w:val="CoverReference"/>
      </w:pPr>
      <w:r w:rsidRPr="00D75C92">
        <w:t>EP-PE_TC1-COD(2021)0270</w:t>
      </w:r>
    </w:p>
    <w:p w:rsidR="00D06995" w:rsidRPr="00D75C92" w:rsidRDefault="00D75C92" w:rsidP="00D06995">
      <w:pPr>
        <w:pStyle w:val="CoverDate"/>
      </w:pPr>
      <w:r w:rsidRPr="00D75C92">
        <w:rPr>
          <w:rStyle w:val="HideTWBInt"/>
        </w:rPr>
        <w:t>{23/11/2021}</w:t>
      </w:r>
      <w:r w:rsidRPr="00D75C92">
        <w:t>23.11.2021</w:t>
      </w:r>
    </w:p>
    <w:p w:rsidR="00BE4AC1" w:rsidRPr="00D75C92" w:rsidRDefault="00D75C92" w:rsidP="00CC358E">
      <w:pPr>
        <w:pStyle w:val="CoverDocType"/>
      </w:pPr>
      <w:r w:rsidRPr="00D75C92">
        <w:t>***I</w:t>
      </w:r>
    </w:p>
    <w:p w:rsidR="00BE4AC1" w:rsidRPr="00D75C92" w:rsidRDefault="00B15A17" w:rsidP="00BE0112">
      <w:pPr>
        <w:pStyle w:val="CoverDocType24a"/>
      </w:pPr>
      <w:r w:rsidRPr="00D75C92">
        <w:t>AZ EURÓPAI PARLAMENT ÁLLÁSPONTJA</w:t>
      </w:r>
    </w:p>
    <w:p w:rsidR="0096592A" w:rsidRPr="00D75C92" w:rsidRDefault="00D75C92" w:rsidP="00BE0112">
      <w:pPr>
        <w:pStyle w:val="CoverNormal"/>
      </w:pPr>
      <w:r w:rsidRPr="00D75C92">
        <w:t>amely első olvasatban 2021. november 23-án került elfogadásra az (EU) 2018/1091 rendeletnek a 2021–2027 közötti időszakra szóló többéves pénzügyi keret megállapításáról szóló (EU, Euratom) 2020/2093 tanácsi rendelet szerinti, az  integrált mezőgazdasági statisztikákhoz nyújtott uniós hozzájárulás tekintetében történő módosításáról szóló (EU) 2021/...európai parlamenti és tanácsi rendelet elfogadására tekintettel</w:t>
      </w:r>
    </w:p>
    <w:p w:rsidR="00BE4AC1" w:rsidRPr="00D75C92" w:rsidRDefault="00BE4AC1" w:rsidP="00BE0112">
      <w:pPr>
        <w:pStyle w:val="CoverNormal"/>
      </w:pPr>
      <w:r w:rsidRPr="00D75C92">
        <w:t>(</w:t>
      </w:r>
      <w:r w:rsidR="00D75C92" w:rsidRPr="00D75C92">
        <w:t>EP-PE_TC1-COD(2021)0270</w:t>
      </w:r>
      <w:r w:rsidRPr="00D75C92">
        <w:t>)</w:t>
      </w:r>
    </w:p>
    <w:p w:rsidR="001A7617" w:rsidRPr="00D75C92" w:rsidRDefault="001A7617" w:rsidP="00BE0112">
      <w:pPr>
        <w:pStyle w:val="CoverNormal"/>
      </w:pPr>
    </w:p>
    <w:p w:rsidR="00BE0112" w:rsidRPr="00D75C92" w:rsidRDefault="00BE0112" w:rsidP="009844B0"/>
    <w:p w:rsidR="00BE0112" w:rsidRPr="00D75C92" w:rsidRDefault="00BE0112" w:rsidP="009844B0">
      <w:pPr>
        <w:sectPr w:rsidR="00BE0112" w:rsidRPr="00D75C92" w:rsidSect="00D75C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continuous"/>
          <w:pgSz w:w="11906" w:h="16838" w:code="9"/>
          <w:pgMar w:top="1134" w:right="1418" w:bottom="1418" w:left="1418" w:header="1134" w:footer="567" w:gutter="0"/>
          <w:pgNumType w:fmt="numberInDash" w:start="0"/>
          <w:cols w:space="720"/>
          <w:titlePg/>
        </w:sectPr>
      </w:pPr>
    </w:p>
    <w:p w:rsidR="00A51CB9" w:rsidRPr="00D75C92" w:rsidRDefault="00B15A17" w:rsidP="008D715A">
      <w:pPr>
        <w:pStyle w:val="HeadingCenter24a"/>
      </w:pPr>
      <w:r w:rsidRPr="00D75C92">
        <w:lastRenderedPageBreak/>
        <w:t>AZ EURÓPAI PARLAMENT ÁLLÁSPONTJA</w:t>
      </w:r>
    </w:p>
    <w:p w:rsidR="0032447B" w:rsidRPr="00D75C92" w:rsidRDefault="00D75C92" w:rsidP="008D715A">
      <w:pPr>
        <w:pStyle w:val="HeadingCenter24a"/>
      </w:pPr>
      <w:r w:rsidRPr="00D75C92">
        <w:t>amely első olvasatban 2021. november 23-án került elfogadásra</w:t>
      </w:r>
    </w:p>
    <w:p w:rsidR="00523372" w:rsidRPr="00D75C92" w:rsidRDefault="00D75C92" w:rsidP="008D715A">
      <w:pPr>
        <w:pStyle w:val="HeadingCenter24a"/>
      </w:pPr>
      <w:r w:rsidRPr="00D75C92">
        <w:t xml:space="preserve"> </w:t>
      </w:r>
      <w:r w:rsidRPr="00D75C92">
        <w:rPr>
          <w:bCs/>
        </w:rPr>
        <w:t xml:space="preserve">az (EU) 2018/1091 rendeletnek a 2021–2027 közötti időszakra szóló többéves pénzügyi keret megállapításáról szóló (EU, Euratom) 2020/2093 tanácsi rendelet szerinti, az  integrált mezőgazdasági statisztikákhoz nyújtott uniós hozzájárulás tekintetében történő módosításáról szóló </w:t>
      </w:r>
      <w:r w:rsidRPr="00D75C92">
        <w:t>(EU) 2021/...európai parlamenti és tanácsi rendelet elfogadására tekintettel</w:t>
      </w:r>
    </w:p>
    <w:p w:rsidR="00D75C92" w:rsidRPr="00D75C92" w:rsidRDefault="00D75C92" w:rsidP="00D75C92">
      <w:pPr>
        <w:widowControl/>
        <w:spacing w:before="360" w:after="240" w:line="360" w:lineRule="auto"/>
        <w:jc w:val="center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(EGT-vonatkozású szöveg)</w:t>
      </w:r>
    </w:p>
    <w:p w:rsidR="00D75C92" w:rsidRPr="00D75C92" w:rsidRDefault="00D75C92" w:rsidP="00D75C92">
      <w:pPr>
        <w:widowControl/>
        <w:tabs>
          <w:tab w:val="center" w:pos="4536"/>
          <w:tab w:val="left" w:pos="6453"/>
        </w:tabs>
        <w:spacing w:before="600" w:after="120" w:line="360" w:lineRule="auto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AZ EURÓPAI PARLAMENT ÉS AZ EURÓPAI UNIÓ TANÁCSA,</w:t>
      </w:r>
    </w:p>
    <w:p w:rsidR="00D75C92" w:rsidRPr="00D75C92" w:rsidRDefault="00D75C92" w:rsidP="00D75C92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tekintettel az Európai Unió működéséről szóló szerződésre és különösen annak 338. cikke (1) bekezdésére,</w:t>
      </w:r>
    </w:p>
    <w:p w:rsidR="00D75C92" w:rsidRPr="00D75C92" w:rsidRDefault="00D75C92" w:rsidP="00D75C92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tekintettel az Európai Bizottság javaslatára,</w:t>
      </w:r>
    </w:p>
    <w:p w:rsidR="00D75C92" w:rsidRPr="00D75C92" w:rsidRDefault="00D75C92" w:rsidP="00D75C92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a jogalkotási aktus tervezete nemzeti parlamenteknek való megküldését követően,</w:t>
      </w:r>
    </w:p>
    <w:p w:rsidR="00D75C92" w:rsidRPr="00D75C92" w:rsidRDefault="00D75C92" w:rsidP="00D75C92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rendes jogalkotási eljárás keretében</w:t>
      </w:r>
      <w:r w:rsidRPr="00D75C92">
        <w:rPr>
          <w:rFonts w:eastAsia="Calibri"/>
          <w:szCs w:val="22"/>
          <w:vertAlign w:val="superscript"/>
          <w:lang w:eastAsia="en-US"/>
        </w:rPr>
        <w:footnoteReference w:id="1"/>
      </w:r>
      <w:r w:rsidRPr="00D75C92">
        <w:rPr>
          <w:rFonts w:eastAsia="Calibri"/>
          <w:szCs w:val="22"/>
          <w:lang w:eastAsia="en-US"/>
        </w:rPr>
        <w:t>,</w:t>
      </w:r>
    </w:p>
    <w:p w:rsidR="00D75C92" w:rsidRPr="00D75C92" w:rsidRDefault="00D75C92" w:rsidP="00D75C92">
      <w:pPr>
        <w:widowControl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br w:type="page"/>
      </w:r>
    </w:p>
    <w:p w:rsidR="00D75C92" w:rsidRPr="00D75C92" w:rsidRDefault="00D75C92" w:rsidP="00D75C92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mivel:</w:t>
      </w:r>
    </w:p>
    <w:p w:rsidR="00D75C92" w:rsidRPr="00D75C92" w:rsidRDefault="00D75C92" w:rsidP="00D75C92">
      <w:pPr>
        <w:widowControl/>
        <w:tabs>
          <w:tab w:val="left" w:pos="709"/>
        </w:tabs>
        <w:spacing w:before="120" w:after="120" w:line="360" w:lineRule="auto"/>
        <w:ind w:left="851" w:hanging="851"/>
        <w:rPr>
          <w:szCs w:val="22"/>
          <w:lang w:eastAsia="de-DE"/>
        </w:rPr>
      </w:pPr>
      <w:r w:rsidRPr="00D75C92">
        <w:rPr>
          <w:szCs w:val="22"/>
          <w:lang w:eastAsia="de-DE"/>
        </w:rPr>
        <w:t>(1)</w:t>
      </w:r>
      <w:r w:rsidRPr="00D75C92">
        <w:rPr>
          <w:szCs w:val="22"/>
          <w:lang w:eastAsia="de-DE"/>
        </w:rPr>
        <w:tab/>
        <w:t>Az (EU) 2018/1091 európai parlamenti és tanácsi rendelet</w:t>
      </w:r>
      <w:r w:rsidRPr="00D75C92">
        <w:rPr>
          <w:szCs w:val="22"/>
          <w:vertAlign w:val="superscript"/>
          <w:lang w:eastAsia="de-DE"/>
        </w:rPr>
        <w:footnoteReference w:id="2"/>
      </w:r>
      <w:r w:rsidRPr="00D75C92">
        <w:rPr>
          <w:szCs w:val="22"/>
          <w:lang w:eastAsia="de-DE"/>
        </w:rPr>
        <w:t xml:space="preserve"> előírja, hogy a tagállamok mezőgazdasági gazdaságokhoz kapcsolódó alapvető strukturális adatokat (a továbbiakban: alapvető adatok) és moduladatokat (a továbbiakban: moduladatok) gyűjtsenek és szolgáltassanak a </w:t>
      </w:r>
      <w:r w:rsidRPr="00D75C92">
        <w:rPr>
          <w:rFonts w:eastAsia="Calibri"/>
          <w:szCs w:val="22"/>
          <w:lang w:eastAsia="en-US"/>
        </w:rPr>
        <w:t>2023-as és a 2026-os referenciaévre vonatkozóan</w:t>
      </w:r>
      <w:r w:rsidRPr="00D75C92">
        <w:rPr>
          <w:szCs w:val="22"/>
          <w:lang w:eastAsia="de-DE"/>
        </w:rPr>
        <w:t>.</w:t>
      </w:r>
    </w:p>
    <w:p w:rsidR="00D75C92" w:rsidRPr="00D75C92" w:rsidRDefault="00D75C92" w:rsidP="00D75C92">
      <w:pPr>
        <w:widowControl/>
        <w:tabs>
          <w:tab w:val="left" w:pos="709"/>
        </w:tabs>
        <w:spacing w:before="120" w:after="120" w:line="360" w:lineRule="auto"/>
        <w:ind w:left="851" w:hanging="851"/>
        <w:rPr>
          <w:szCs w:val="22"/>
          <w:lang w:eastAsia="de-DE"/>
        </w:rPr>
      </w:pPr>
      <w:r w:rsidRPr="00D75C92">
        <w:rPr>
          <w:szCs w:val="22"/>
          <w:lang w:eastAsia="de-DE"/>
        </w:rPr>
        <w:t>(2)</w:t>
      </w:r>
      <w:r w:rsidRPr="00D75C92">
        <w:rPr>
          <w:szCs w:val="22"/>
          <w:lang w:eastAsia="de-DE"/>
        </w:rPr>
        <w:tab/>
        <w:t>A gazdaságszerkezeti felmérések elvégzéséhez és az uniós tájékoztatási követelmények teljesítéséhez jelentős összegű finanszírozásra van szükség a tagállamoktól és az Uniótól.</w:t>
      </w:r>
    </w:p>
    <w:p w:rsidR="00D75C92" w:rsidRPr="00D75C92" w:rsidRDefault="00D75C92" w:rsidP="00D75C92">
      <w:pPr>
        <w:widowControl/>
        <w:tabs>
          <w:tab w:val="left" w:pos="709"/>
        </w:tabs>
        <w:spacing w:before="120" w:after="120" w:line="360" w:lineRule="auto"/>
        <w:ind w:left="851" w:hanging="851"/>
        <w:rPr>
          <w:szCs w:val="22"/>
          <w:lang w:eastAsia="de-DE"/>
        </w:rPr>
      </w:pPr>
      <w:r w:rsidRPr="00D75C92">
        <w:rPr>
          <w:szCs w:val="22"/>
          <w:lang w:eastAsia="de-DE"/>
        </w:rPr>
        <w:t>(3)</w:t>
      </w:r>
      <w:r w:rsidRPr="00D75C92">
        <w:rPr>
          <w:szCs w:val="22"/>
          <w:lang w:eastAsia="de-DE"/>
        </w:rPr>
        <w:tab/>
        <w:t xml:space="preserve">A tagállamok legfeljebb 75 %-os pénzügyi hozzájárulást kapnak az Uniótól a </w:t>
      </w:r>
      <w:r w:rsidRPr="00D75C92">
        <w:rPr>
          <w:rFonts w:eastAsia="Calibri"/>
          <w:szCs w:val="22"/>
          <w:lang w:eastAsia="en-US"/>
        </w:rPr>
        <w:t>2023-as és a 2026-os referenciaévre vonatkozó</w:t>
      </w:r>
      <w:r w:rsidRPr="00D75C92">
        <w:rPr>
          <w:szCs w:val="22"/>
          <w:lang w:eastAsia="de-DE"/>
        </w:rPr>
        <w:t xml:space="preserve"> alapvető adatok és a moduladatok gyűjtésének költségeihez, figyelemmel az (EU) 2018/1091 rendeletben meghatározott maximális összegekre.</w:t>
      </w:r>
    </w:p>
    <w:p w:rsidR="00D75C92" w:rsidRPr="00D75C92" w:rsidRDefault="00D75C92" w:rsidP="00D75C92">
      <w:pPr>
        <w:widowControl/>
        <w:rPr>
          <w:szCs w:val="22"/>
          <w:lang w:eastAsia="de-DE"/>
        </w:rPr>
      </w:pPr>
      <w:r w:rsidRPr="00D75C92">
        <w:rPr>
          <w:szCs w:val="22"/>
          <w:lang w:eastAsia="de-DE"/>
        </w:rPr>
        <w:br w:type="page"/>
      </w:r>
    </w:p>
    <w:p w:rsidR="00D75C92" w:rsidRPr="00D75C92" w:rsidRDefault="00D75C92" w:rsidP="00D75C92">
      <w:pPr>
        <w:widowControl/>
        <w:tabs>
          <w:tab w:val="left" w:pos="709"/>
        </w:tabs>
        <w:spacing w:before="120" w:after="120" w:line="360" w:lineRule="auto"/>
        <w:ind w:left="851" w:hanging="851"/>
        <w:rPr>
          <w:szCs w:val="22"/>
          <w:lang w:eastAsia="de-DE"/>
        </w:rPr>
      </w:pPr>
      <w:r w:rsidRPr="00D75C92">
        <w:rPr>
          <w:szCs w:val="22"/>
          <w:lang w:eastAsia="de-DE"/>
        </w:rPr>
        <w:t>(4)</w:t>
      </w:r>
      <w:r w:rsidRPr="00D75C92">
        <w:rPr>
          <w:szCs w:val="22"/>
          <w:lang w:eastAsia="de-DE"/>
        </w:rPr>
        <w:tab/>
        <w:t xml:space="preserve">Az (EU) 2018/1091 rendelet az érintett többéves pénzügyi keret teljes időtartamára meghatározza a pénzügyi keretösszeget, és rendelkezik a </w:t>
      </w:r>
      <w:r w:rsidRPr="00D75C92">
        <w:rPr>
          <w:rFonts w:eastAsia="Calibri"/>
          <w:szCs w:val="22"/>
          <w:lang w:eastAsia="en-US"/>
        </w:rPr>
        <w:t xml:space="preserve">2023-as és a 2026-os referenciaévben elvégzett </w:t>
      </w:r>
      <w:r w:rsidRPr="00D75C92">
        <w:rPr>
          <w:szCs w:val="22"/>
          <w:lang w:eastAsia="de-DE"/>
        </w:rPr>
        <w:t>gazdaságszerkezeti felmérésre vonatkozó, a következő többéves pénzügyi keretből a további adatgyűjtésekhez nyújtandó összeg megállapításáról.</w:t>
      </w:r>
    </w:p>
    <w:p w:rsidR="00D75C92" w:rsidRPr="00D75C92" w:rsidRDefault="00D75C92" w:rsidP="00D75C92">
      <w:pPr>
        <w:widowControl/>
        <w:tabs>
          <w:tab w:val="left" w:pos="709"/>
        </w:tabs>
        <w:spacing w:before="120" w:after="120" w:line="360" w:lineRule="auto"/>
        <w:ind w:left="851" w:hanging="851"/>
        <w:rPr>
          <w:szCs w:val="22"/>
          <w:lang w:eastAsia="de-DE"/>
        </w:rPr>
      </w:pPr>
      <w:r w:rsidRPr="00D75C92">
        <w:rPr>
          <w:szCs w:val="22"/>
          <w:lang w:eastAsia="de-DE"/>
        </w:rPr>
        <w:t>(5)</w:t>
      </w:r>
      <w:r w:rsidRPr="00D75C92">
        <w:rPr>
          <w:szCs w:val="22"/>
          <w:lang w:eastAsia="de-DE"/>
        </w:rPr>
        <w:tab/>
        <w:t>Az említett következő, a 2021–2027-es időszakra vonatkozó többéves pénzügyi keretet az (EU, Euratom) 2020/2093 tanácsi rendelet</w:t>
      </w:r>
      <w:r w:rsidRPr="00D75C92">
        <w:rPr>
          <w:szCs w:val="22"/>
          <w:vertAlign w:val="superscript"/>
          <w:lang w:eastAsia="de-DE"/>
        </w:rPr>
        <w:footnoteReference w:id="3"/>
      </w:r>
      <w:r w:rsidRPr="00D75C92">
        <w:rPr>
          <w:szCs w:val="22"/>
          <w:lang w:eastAsia="de-DE"/>
        </w:rPr>
        <w:t xml:space="preserve"> határozta meg.</w:t>
      </w:r>
    </w:p>
    <w:p w:rsidR="00D75C92" w:rsidRPr="00D75C92" w:rsidRDefault="00D75C92" w:rsidP="00D75C92">
      <w:pPr>
        <w:widowControl/>
        <w:tabs>
          <w:tab w:val="left" w:pos="709"/>
        </w:tabs>
        <w:spacing w:before="120" w:after="120" w:line="360" w:lineRule="auto"/>
        <w:ind w:left="851" w:hanging="851"/>
        <w:rPr>
          <w:szCs w:val="22"/>
          <w:lang w:eastAsia="de-DE"/>
        </w:rPr>
      </w:pPr>
      <w:r w:rsidRPr="00D75C92">
        <w:rPr>
          <w:szCs w:val="22"/>
          <w:lang w:eastAsia="de-DE"/>
        </w:rPr>
        <w:t>(6)</w:t>
      </w:r>
      <w:r w:rsidRPr="00D75C92">
        <w:rPr>
          <w:szCs w:val="22"/>
          <w:lang w:eastAsia="de-DE"/>
        </w:rPr>
        <w:tab/>
        <w:t>Az (EU) 2018/1091 rendelet szerint a 2021–2027-es időszakra vonatkozó többéves pénzügyi keretből az integrált mezőgazdasági statisztikákhoz nyújtott uniós hozzájárulás összegét a Bizottság javaslata alapján az Európai Parlamentnek és a Tanácsnak kell meghatároznia az (EU, Euratom) 2020/2093 rendelet hatálybalépését követően.</w:t>
      </w:r>
    </w:p>
    <w:p w:rsidR="00D75C92" w:rsidRPr="00D75C92" w:rsidRDefault="00D75C92" w:rsidP="00D75C92">
      <w:pPr>
        <w:widowControl/>
        <w:tabs>
          <w:tab w:val="left" w:pos="709"/>
        </w:tabs>
        <w:spacing w:before="120" w:after="120" w:line="360" w:lineRule="auto"/>
        <w:ind w:left="851" w:hanging="851"/>
        <w:rPr>
          <w:szCs w:val="22"/>
          <w:lang w:eastAsia="de-DE"/>
        </w:rPr>
      </w:pPr>
      <w:r w:rsidRPr="00D75C92">
        <w:rPr>
          <w:szCs w:val="22"/>
          <w:lang w:eastAsia="de-DE"/>
        </w:rPr>
        <w:t>(7)</w:t>
      </w:r>
      <w:r w:rsidRPr="00D75C92">
        <w:rPr>
          <w:szCs w:val="22"/>
          <w:lang w:eastAsia="de-DE"/>
        </w:rPr>
        <w:tab/>
        <w:t>A 2021–2027-es időszakra javasolt összegből csak a 2023. és a 2026. évi gazdaságszerkezeti felmérés finanszírozható, ideértve a tagállamok által szolgáltatandó adatok feldolgozásához a Bizottság által használt adatbázisok kezelésével, karbantartásával és fejlesztésével kapcsolatos költségeket is.</w:t>
      </w:r>
    </w:p>
    <w:p w:rsidR="00D75C92" w:rsidRPr="00D75C92" w:rsidRDefault="00D75C92" w:rsidP="00D75C92">
      <w:pPr>
        <w:widowControl/>
        <w:rPr>
          <w:szCs w:val="22"/>
          <w:lang w:eastAsia="de-DE"/>
        </w:rPr>
      </w:pPr>
      <w:r w:rsidRPr="00D75C92">
        <w:rPr>
          <w:szCs w:val="22"/>
          <w:lang w:eastAsia="de-DE"/>
        </w:rPr>
        <w:br w:type="page"/>
      </w:r>
    </w:p>
    <w:p w:rsidR="00D75C92" w:rsidRPr="00D75C92" w:rsidRDefault="00D75C92" w:rsidP="00D75C92">
      <w:pPr>
        <w:widowControl/>
        <w:tabs>
          <w:tab w:val="left" w:pos="709"/>
        </w:tabs>
        <w:spacing w:before="120" w:after="120" w:line="360" w:lineRule="auto"/>
        <w:ind w:left="851" w:hanging="851"/>
        <w:rPr>
          <w:szCs w:val="22"/>
          <w:lang w:eastAsia="de-DE"/>
        </w:rPr>
      </w:pPr>
      <w:r w:rsidRPr="00D75C92">
        <w:rPr>
          <w:szCs w:val="22"/>
          <w:lang w:eastAsia="de-DE"/>
        </w:rPr>
        <w:t>(8)</w:t>
      </w:r>
      <w:r w:rsidRPr="00D75C92">
        <w:rPr>
          <w:szCs w:val="22"/>
          <w:lang w:eastAsia="de-DE"/>
        </w:rPr>
        <w:tab/>
        <w:t>Ezenkívül az Unióból történt kilépését követően helyénvaló törölni az (EU) 2018/1091 rendeletben az Egyesült Királyságra vonatkozó utalást.</w:t>
      </w:r>
    </w:p>
    <w:p w:rsidR="00D75C92" w:rsidRPr="00D75C92" w:rsidRDefault="00D75C92" w:rsidP="00D75C92">
      <w:pPr>
        <w:widowControl/>
        <w:tabs>
          <w:tab w:val="left" w:pos="709"/>
        </w:tabs>
        <w:spacing w:before="120" w:after="120" w:line="360" w:lineRule="auto"/>
        <w:ind w:left="851" w:hanging="851"/>
        <w:rPr>
          <w:szCs w:val="22"/>
          <w:lang w:eastAsia="de-DE"/>
        </w:rPr>
      </w:pPr>
      <w:r w:rsidRPr="00D75C92">
        <w:rPr>
          <w:szCs w:val="22"/>
          <w:lang w:eastAsia="de-DE"/>
        </w:rPr>
        <w:t>(9)</w:t>
      </w:r>
      <w:r w:rsidRPr="00D75C92">
        <w:rPr>
          <w:szCs w:val="22"/>
          <w:lang w:eastAsia="de-DE"/>
        </w:rPr>
        <w:tab/>
        <w:t>Az (EU) 2018/1091 rendeletet ezért ennek megfelelően módosítani kell.</w:t>
      </w:r>
    </w:p>
    <w:p w:rsidR="00D75C92" w:rsidRPr="00D75C92" w:rsidRDefault="00D75C92" w:rsidP="00D75C92">
      <w:pPr>
        <w:widowControl/>
        <w:tabs>
          <w:tab w:val="left" w:pos="709"/>
        </w:tabs>
        <w:spacing w:before="120" w:after="120" w:line="360" w:lineRule="auto"/>
        <w:ind w:left="851" w:hanging="851"/>
        <w:rPr>
          <w:szCs w:val="22"/>
          <w:lang w:eastAsia="de-DE"/>
        </w:rPr>
      </w:pPr>
      <w:r w:rsidRPr="00D75C92">
        <w:rPr>
          <w:szCs w:val="22"/>
          <w:lang w:eastAsia="de-DE"/>
        </w:rPr>
        <w:t>(10)</w:t>
      </w:r>
      <w:r w:rsidRPr="00D75C92">
        <w:rPr>
          <w:szCs w:val="22"/>
          <w:lang w:eastAsia="de-DE"/>
        </w:rPr>
        <w:tab/>
        <w:t>A 223/2009/EK európai parlamenti és tanácsi rendelet</w:t>
      </w:r>
      <w:r w:rsidRPr="00D75C92">
        <w:rPr>
          <w:szCs w:val="22"/>
          <w:vertAlign w:val="superscript"/>
          <w:lang w:eastAsia="de-DE"/>
        </w:rPr>
        <w:footnoteReference w:id="4"/>
      </w:r>
      <w:r w:rsidRPr="00D75C92">
        <w:rPr>
          <w:szCs w:val="22"/>
          <w:lang w:eastAsia="de-DE"/>
        </w:rPr>
        <w:t xml:space="preserve"> 7. cikkével létrehozott Európai Statisztikai Rendszer Bizottságával konzultáció történt.</w:t>
      </w:r>
    </w:p>
    <w:p w:rsidR="00D75C92" w:rsidRPr="00D75C92" w:rsidRDefault="00D75C92" w:rsidP="00D75C92">
      <w:pPr>
        <w:widowControl/>
        <w:spacing w:before="120" w:after="120" w:line="360" w:lineRule="auto"/>
        <w:ind w:left="851" w:hanging="851"/>
        <w:rPr>
          <w:szCs w:val="22"/>
          <w:lang w:eastAsia="de-DE"/>
        </w:rPr>
      </w:pPr>
      <w:r w:rsidRPr="00D75C92">
        <w:rPr>
          <w:szCs w:val="22"/>
          <w:lang w:eastAsia="de-DE"/>
        </w:rPr>
        <w:t>(11)</w:t>
      </w:r>
      <w:r w:rsidRPr="00D75C92">
        <w:rPr>
          <w:szCs w:val="22"/>
          <w:lang w:eastAsia="de-DE"/>
        </w:rPr>
        <w:tab/>
        <w:t xml:space="preserve">E rendeletnek sürgősen, az </w:t>
      </w:r>
      <w:r w:rsidRPr="00D75C92">
        <w:rPr>
          <w:i/>
          <w:szCs w:val="22"/>
          <w:lang w:eastAsia="de-DE"/>
        </w:rPr>
        <w:t>Európai Unió Hivatalos Lapjában</w:t>
      </w:r>
      <w:r w:rsidRPr="00D75C92">
        <w:rPr>
          <w:szCs w:val="22"/>
          <w:lang w:eastAsia="de-DE"/>
        </w:rPr>
        <w:t xml:space="preserve"> való kihirdetését követő napon hatályba kell lépnie annak biztosítása érdekében, hogy a tagállamok kellő időben kapjanak finanszírozást az Uniótól ahhoz, hogy a nemzeti statisztikai intézeteik elkészíthessék a 2023-as referenciaévre vonatkozó adatgyűjtést, </w:t>
      </w:r>
    </w:p>
    <w:p w:rsidR="00D75C92" w:rsidRPr="00D75C92" w:rsidRDefault="00D75C92" w:rsidP="00D75C92">
      <w:pPr>
        <w:widowControl/>
        <w:spacing w:before="120" w:after="120" w:line="360" w:lineRule="auto"/>
        <w:ind w:left="567" w:hanging="567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ELFOGADTA EZT A RENDELETET:</w:t>
      </w:r>
    </w:p>
    <w:p w:rsidR="00D75C92" w:rsidRPr="00D75C92" w:rsidRDefault="00D75C92" w:rsidP="00D75C92">
      <w:pPr>
        <w:keepNext/>
        <w:widowControl/>
        <w:spacing w:before="120" w:after="120" w:line="360" w:lineRule="auto"/>
        <w:ind w:left="851" w:hanging="851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br w:type="page"/>
      </w:r>
    </w:p>
    <w:p w:rsidR="00D75C92" w:rsidRPr="00D75C92" w:rsidRDefault="00D75C92" w:rsidP="00D75C92">
      <w:pPr>
        <w:widowControl/>
        <w:spacing w:before="360" w:after="120" w:line="360" w:lineRule="auto"/>
        <w:jc w:val="center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1. cikk</w:t>
      </w:r>
    </w:p>
    <w:p w:rsidR="00D75C92" w:rsidRPr="00D75C92" w:rsidRDefault="00D75C92" w:rsidP="00D75C92">
      <w:pPr>
        <w:widowControl/>
        <w:spacing w:before="120" w:after="120" w:line="360" w:lineRule="auto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Az (EU) 2018/1091 rendelet a következőképpen módosul:</w:t>
      </w:r>
    </w:p>
    <w:p w:rsidR="00D75C92" w:rsidRPr="00D75C92" w:rsidRDefault="00D75C92" w:rsidP="00D75C92">
      <w:pPr>
        <w:widowControl/>
        <w:spacing w:line="360" w:lineRule="auto"/>
        <w:ind w:left="851" w:hanging="851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1.</w:t>
      </w:r>
      <w:r w:rsidRPr="00D75C92">
        <w:rPr>
          <w:rFonts w:eastAsia="Calibri"/>
          <w:szCs w:val="22"/>
          <w:lang w:eastAsia="en-US"/>
        </w:rPr>
        <w:tab/>
        <w:t>A 13. cikk a következőképpen módosul:</w:t>
      </w:r>
    </w:p>
    <w:p w:rsidR="00D75C92" w:rsidRPr="00D75C92" w:rsidRDefault="00D75C92" w:rsidP="00D75C92">
      <w:pPr>
        <w:widowControl/>
        <w:spacing w:line="360" w:lineRule="auto"/>
        <w:ind w:left="1418" w:hanging="567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a)</w:t>
      </w:r>
      <w:r w:rsidRPr="00D75C92">
        <w:rPr>
          <w:rFonts w:eastAsia="Calibri"/>
          <w:szCs w:val="22"/>
          <w:lang w:eastAsia="en-US"/>
        </w:rPr>
        <w:tab/>
        <w:t>a (4) bekezdés a következőképpen módosul:</w:t>
      </w:r>
    </w:p>
    <w:p w:rsidR="00D75C92" w:rsidRPr="00D75C92" w:rsidRDefault="00D75C92" w:rsidP="00D75C92">
      <w:pPr>
        <w:widowControl/>
        <w:spacing w:line="360" w:lineRule="auto"/>
        <w:ind w:left="1843" w:hanging="426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i.</w:t>
      </w:r>
      <w:r w:rsidRPr="00D75C92">
        <w:rPr>
          <w:rFonts w:eastAsia="Calibri"/>
          <w:szCs w:val="22"/>
          <w:lang w:eastAsia="en-US"/>
        </w:rPr>
        <w:tab/>
        <w:t>a bevezető rész helyébe a következő szöveg lép:</w:t>
      </w:r>
    </w:p>
    <w:p w:rsidR="00D75C92" w:rsidRPr="00D75C92" w:rsidRDefault="00D75C92" w:rsidP="00D75C92">
      <w:pPr>
        <w:widowControl/>
        <w:spacing w:line="360" w:lineRule="auto"/>
        <w:ind w:left="1701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„Az alapvető adatok és moduladatok 2023-as és 2026-os referenciaévre vonatkozó</w:t>
      </w:r>
      <w:r w:rsidRPr="00D75C92">
        <w:rPr>
          <w:szCs w:val="22"/>
          <w:lang w:eastAsia="de-DE"/>
        </w:rPr>
        <w:t xml:space="preserve"> </w:t>
      </w:r>
      <w:r w:rsidRPr="00D75C92">
        <w:rPr>
          <w:rFonts w:eastAsia="Calibri"/>
          <w:szCs w:val="22"/>
          <w:lang w:eastAsia="en-US"/>
        </w:rPr>
        <w:t>gyűjtésének együttes költsége tekintetében az Unió pénzügyi hozzájárulása az alábbi maximális összegekre korlátozódik:”;</w:t>
      </w:r>
    </w:p>
    <w:p w:rsidR="00D75C92" w:rsidRPr="00D75C92" w:rsidRDefault="00D75C92" w:rsidP="00D75C92">
      <w:pPr>
        <w:widowControl/>
        <w:spacing w:line="360" w:lineRule="auto"/>
        <w:ind w:left="1843" w:hanging="426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ii.</w:t>
      </w:r>
      <w:r w:rsidRPr="00D75C92">
        <w:rPr>
          <w:rFonts w:eastAsia="Calibri"/>
          <w:szCs w:val="22"/>
          <w:lang w:eastAsia="en-US"/>
        </w:rPr>
        <w:tab/>
        <w:t>a c) pont helyébe a következő szöveg lép:</w:t>
      </w:r>
    </w:p>
    <w:p w:rsidR="00D75C92" w:rsidRPr="00D75C92" w:rsidRDefault="00D75C92" w:rsidP="00D75C92">
      <w:pPr>
        <w:widowControl/>
        <w:spacing w:line="360" w:lineRule="auto"/>
        <w:ind w:left="1701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„c) Bulgária, Németország, Magyarország és Portugália esetében 2 000 000 EUR;”;</w:t>
      </w:r>
    </w:p>
    <w:p w:rsidR="00D75C92" w:rsidRPr="00D75C92" w:rsidRDefault="00D75C92" w:rsidP="00D75C92">
      <w:pPr>
        <w:widowControl/>
        <w:spacing w:line="360" w:lineRule="auto"/>
        <w:ind w:left="1418" w:hanging="567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b)</w:t>
      </w:r>
      <w:r w:rsidRPr="00D75C92">
        <w:rPr>
          <w:rFonts w:eastAsia="Calibri"/>
          <w:szCs w:val="22"/>
          <w:lang w:eastAsia="en-US"/>
        </w:rPr>
        <w:tab/>
        <w:t>az (5) bekezdést el kell hagyni;</w:t>
      </w:r>
    </w:p>
    <w:p w:rsidR="00D75C92" w:rsidRPr="00D75C92" w:rsidRDefault="00D75C92" w:rsidP="00D75C92">
      <w:pPr>
        <w:widowControl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br w:type="page"/>
      </w:r>
    </w:p>
    <w:p w:rsidR="00D75C92" w:rsidRPr="00D75C92" w:rsidRDefault="00D75C92" w:rsidP="00D75C92">
      <w:pPr>
        <w:widowControl/>
        <w:spacing w:line="360" w:lineRule="auto"/>
        <w:ind w:left="1418" w:hanging="567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c)</w:t>
      </w:r>
      <w:r w:rsidRPr="00D75C92">
        <w:rPr>
          <w:rFonts w:eastAsia="Calibri"/>
          <w:szCs w:val="22"/>
          <w:lang w:eastAsia="en-US"/>
        </w:rPr>
        <w:tab/>
        <w:t>a (7) bekezdés helyébe a következő szöveg lép:</w:t>
      </w:r>
    </w:p>
    <w:p w:rsidR="00D75C92" w:rsidRPr="00D75C92" w:rsidRDefault="00D75C92" w:rsidP="00D75C92">
      <w:pPr>
        <w:widowControl/>
        <w:spacing w:line="360" w:lineRule="auto"/>
        <w:ind w:left="2268" w:hanging="567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„(7)</w:t>
      </w:r>
      <w:r w:rsidRPr="00D75C92">
        <w:rPr>
          <w:rFonts w:eastAsia="Calibri"/>
          <w:szCs w:val="22"/>
          <w:lang w:eastAsia="en-US"/>
        </w:rPr>
        <w:tab/>
        <w:t>Az e cikk (2) bekezdésében említett támogatásokhoz nyújtott uniós pénzügyi hozzájárulás az 1306/2013/EU rendelet 4. cikke (2) bekezdésének d) pontja, valamint 2023. január 1-jétől az (EU) 2021/... európai parlamenti és tanácsi rendelet</w:t>
      </w:r>
      <w:r w:rsidRPr="00D75C92">
        <w:rPr>
          <w:rFonts w:eastAsia="Calibri"/>
          <w:szCs w:val="22"/>
          <w:vertAlign w:val="superscript"/>
          <w:lang w:eastAsia="en-US"/>
        </w:rPr>
        <w:t>*</w:t>
      </w:r>
      <w:r w:rsidRPr="00D75C92">
        <w:rPr>
          <w:rFonts w:eastAsia="Calibri"/>
          <w:szCs w:val="22"/>
          <w:vertAlign w:val="superscript"/>
          <w:lang w:eastAsia="en-US"/>
        </w:rPr>
        <w:footnoteReference w:customMarkFollows="1" w:id="5"/>
        <w:t>+</w:t>
      </w:r>
      <w:r w:rsidRPr="00D75C92">
        <w:rPr>
          <w:rFonts w:eastAsia="Calibri"/>
          <w:szCs w:val="22"/>
          <w:lang w:eastAsia="en-US"/>
        </w:rPr>
        <w:t xml:space="preserve"> 5. cikke (3) bekezdésének d) pontja alapján az Európai Mezőgazdasági Garanciaalapból biztosítandó.</w:t>
      </w:r>
    </w:p>
    <w:p w:rsidR="00D75C92" w:rsidRPr="00D75C92" w:rsidRDefault="00D75C92" w:rsidP="00D75C92">
      <w:pPr>
        <w:widowControl/>
        <w:spacing w:line="360" w:lineRule="auto"/>
        <w:ind w:left="1701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__________________</w:t>
      </w:r>
    </w:p>
    <w:p w:rsidR="00D75C92" w:rsidRPr="00D75C92" w:rsidRDefault="00D75C92" w:rsidP="00D75C92">
      <w:pPr>
        <w:widowControl/>
        <w:spacing w:line="360" w:lineRule="auto"/>
        <w:ind w:left="2268" w:hanging="567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*</w:t>
      </w:r>
      <w:r w:rsidRPr="00D75C92">
        <w:rPr>
          <w:rFonts w:eastAsia="Calibri"/>
          <w:szCs w:val="22"/>
          <w:lang w:eastAsia="en-US"/>
        </w:rPr>
        <w:tab/>
        <w:t>Az Európai Parlament és a Tanács (EU) .../... rendelete (...) a közös agrárpolitika finanszírozásáról, irányításáról és monitoringjáról, valamint az 1306/2013/EU rendelet hatályon kívül helyezéséről (HL L ...).”</w:t>
      </w:r>
    </w:p>
    <w:p w:rsidR="00D75C92" w:rsidRPr="00D75C92" w:rsidRDefault="00D75C92" w:rsidP="00D75C92">
      <w:pPr>
        <w:widowControl/>
        <w:spacing w:line="360" w:lineRule="auto"/>
        <w:ind w:left="851" w:hanging="851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2.</w:t>
      </w:r>
      <w:r w:rsidRPr="00D75C92">
        <w:rPr>
          <w:rFonts w:eastAsia="Calibri"/>
          <w:szCs w:val="22"/>
          <w:lang w:eastAsia="en-US"/>
        </w:rPr>
        <w:tab/>
        <w:t>A 14. cikk (1) bekezdésének helyébe a következő szöveg lép:</w:t>
      </w:r>
    </w:p>
    <w:p w:rsidR="00D75C92" w:rsidRPr="00D75C92" w:rsidRDefault="00D75C92" w:rsidP="00D75C92">
      <w:pPr>
        <w:widowControl/>
        <w:spacing w:line="360" w:lineRule="auto"/>
        <w:ind w:left="1418" w:hanging="567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„(1)</w:t>
      </w:r>
      <w:r w:rsidRPr="00D75C92">
        <w:rPr>
          <w:rFonts w:eastAsia="Calibri"/>
          <w:szCs w:val="22"/>
          <w:lang w:eastAsia="en-US"/>
        </w:rPr>
        <w:tab/>
        <w:t>A 2023-as és 2026-os referenciaévre vonatkozó adatgyűjtési program végrehajtására szolgáló uniós pénzügyi keretösszeg – beleértve a tagállamok által e rendelet alapján szolgáltatott adatok feldolgozásához a Bizottság által használt adatbázisrendszerek kezeléséhez, karbantartásához és fejlesztéséhez szükséges előirányzatokat is – 40 000 000 EUR a 2020. december 17-i (EU, Euratom) 2020/2093 tanácsi rendelet* által lefedett időszakra.</w:t>
      </w:r>
    </w:p>
    <w:p w:rsidR="00D75C92" w:rsidRPr="00D75C92" w:rsidRDefault="00D75C92" w:rsidP="00D75C92">
      <w:pPr>
        <w:widowControl/>
        <w:spacing w:line="360" w:lineRule="auto"/>
        <w:ind w:left="1418" w:hanging="567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________________</w:t>
      </w:r>
    </w:p>
    <w:p w:rsidR="00D75C92" w:rsidRPr="00D75C92" w:rsidRDefault="00D75C92" w:rsidP="00D75C92">
      <w:pPr>
        <w:widowControl/>
        <w:spacing w:line="360" w:lineRule="auto"/>
        <w:ind w:left="1418" w:hanging="567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*</w:t>
      </w:r>
      <w:r w:rsidRPr="00D75C92">
        <w:rPr>
          <w:rFonts w:eastAsia="Calibri"/>
          <w:szCs w:val="22"/>
          <w:lang w:eastAsia="en-US"/>
        </w:rPr>
        <w:tab/>
        <w:t>A Tanács (EU, Euratom) 2020/2093 rendelete (2020. december 17.) a 2021–2027-es időszakra vonatkozó többéves pénzügyi keretről (</w:t>
      </w:r>
      <w:r w:rsidRPr="00D75C92">
        <w:rPr>
          <w:rFonts w:eastAsia="Calibri"/>
          <w:iCs/>
          <w:szCs w:val="22"/>
          <w:lang w:eastAsia="en-US"/>
        </w:rPr>
        <w:t>HL L 433. I, 2020.12.22., 11. o.).</w:t>
      </w:r>
      <w:r w:rsidRPr="00D75C92">
        <w:rPr>
          <w:rFonts w:eastAsia="Calibri"/>
          <w:szCs w:val="22"/>
          <w:lang w:eastAsia="en-US"/>
        </w:rPr>
        <w:t>”</w:t>
      </w:r>
    </w:p>
    <w:p w:rsidR="00D75C92" w:rsidRPr="00D75C92" w:rsidRDefault="00D75C92" w:rsidP="00D75C92">
      <w:pPr>
        <w:widowControl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br w:type="page"/>
      </w:r>
    </w:p>
    <w:p w:rsidR="00D75C92" w:rsidRPr="00D75C92" w:rsidRDefault="00D75C92" w:rsidP="00D75C92">
      <w:pPr>
        <w:widowControl/>
        <w:spacing w:before="360" w:after="120" w:line="360" w:lineRule="auto"/>
        <w:jc w:val="center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2. cikk</w:t>
      </w:r>
    </w:p>
    <w:p w:rsidR="00D75C92" w:rsidRPr="00D75C92" w:rsidRDefault="00D75C92" w:rsidP="00D75C92">
      <w:pPr>
        <w:widowControl/>
        <w:spacing w:line="360" w:lineRule="auto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 xml:space="preserve">Ez a rendelet az </w:t>
      </w:r>
      <w:r w:rsidRPr="00D75C92">
        <w:rPr>
          <w:rFonts w:eastAsia="Calibri"/>
          <w:i/>
          <w:szCs w:val="22"/>
          <w:lang w:eastAsia="en-US"/>
        </w:rPr>
        <w:t>Európai Unió Hivatalos Lapjában</w:t>
      </w:r>
      <w:r w:rsidRPr="00D75C92">
        <w:rPr>
          <w:rFonts w:eastAsia="Calibri"/>
          <w:szCs w:val="22"/>
          <w:lang w:eastAsia="en-US"/>
        </w:rPr>
        <w:t xml:space="preserve"> való kihirdetését követő napon lép hatályba.</w:t>
      </w:r>
    </w:p>
    <w:p w:rsidR="00D75C92" w:rsidRPr="00D75C92" w:rsidRDefault="00D75C92" w:rsidP="00D75C92">
      <w:pPr>
        <w:widowControl/>
        <w:spacing w:line="360" w:lineRule="auto"/>
        <w:ind w:left="851" w:hanging="851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>Ez a rendelet teljes egészében kötelező és közvetlenül alkalmazandó valamennyi tagállamban.</w:t>
      </w:r>
    </w:p>
    <w:p w:rsidR="00D75C92" w:rsidRPr="00D75C92" w:rsidRDefault="00D75C92" w:rsidP="00D75C92">
      <w:pPr>
        <w:widowControl/>
        <w:spacing w:line="360" w:lineRule="auto"/>
        <w:ind w:left="851" w:hanging="851"/>
        <w:rPr>
          <w:rFonts w:eastAsia="Calibri"/>
          <w:szCs w:val="22"/>
          <w:lang w:eastAsia="en-US"/>
        </w:rPr>
      </w:pPr>
    </w:p>
    <w:p w:rsidR="00D75C92" w:rsidRPr="00D75C92" w:rsidRDefault="00D75C92" w:rsidP="00D75C92">
      <w:pPr>
        <w:keepNext/>
        <w:widowControl/>
        <w:spacing w:line="360" w:lineRule="auto"/>
        <w:ind w:left="851" w:hanging="851"/>
        <w:rPr>
          <w:rFonts w:eastAsia="Calibri"/>
          <w:szCs w:val="22"/>
          <w:lang w:eastAsia="en-US"/>
        </w:rPr>
      </w:pPr>
      <w:r w:rsidRPr="00D75C92">
        <w:rPr>
          <w:rFonts w:eastAsia="Calibri"/>
          <w:szCs w:val="22"/>
          <w:lang w:eastAsia="en-US"/>
        </w:rPr>
        <w:t xml:space="preserve">Kelt </w:t>
      </w:r>
    </w:p>
    <w:p w:rsidR="00D75C92" w:rsidRPr="00D75C92" w:rsidRDefault="00D75C92" w:rsidP="00D75C92">
      <w:pPr>
        <w:keepNext/>
        <w:widowControl/>
        <w:spacing w:before="120"/>
        <w:jc w:val="both"/>
        <w:rPr>
          <w:rFonts w:eastAsia="Calibri"/>
          <w:i/>
          <w:szCs w:val="22"/>
          <w:lang w:eastAsia="en-US"/>
        </w:rPr>
      </w:pPr>
    </w:p>
    <w:p w:rsidR="00D75C92" w:rsidRPr="00D75C92" w:rsidRDefault="00D75C92" w:rsidP="00D75C92">
      <w:pPr>
        <w:keepNext/>
        <w:widowControl/>
        <w:spacing w:before="120"/>
        <w:jc w:val="both"/>
        <w:rPr>
          <w:rFonts w:eastAsia="Calibri"/>
          <w:i/>
          <w:szCs w:val="22"/>
          <w:lang w:eastAsia="en-US"/>
        </w:rPr>
      </w:pPr>
    </w:p>
    <w:p w:rsidR="00D75C92" w:rsidRPr="00D75C92" w:rsidRDefault="00D75C92" w:rsidP="00D75C92">
      <w:pPr>
        <w:keepNext/>
        <w:widowControl/>
        <w:tabs>
          <w:tab w:val="left" w:pos="4253"/>
        </w:tabs>
        <w:spacing w:before="120"/>
        <w:jc w:val="both"/>
        <w:rPr>
          <w:rFonts w:eastAsia="Calibri"/>
          <w:i/>
          <w:szCs w:val="22"/>
          <w:lang w:eastAsia="en-US"/>
        </w:rPr>
      </w:pPr>
      <w:r w:rsidRPr="00D75C92">
        <w:rPr>
          <w:rFonts w:eastAsia="Calibri"/>
          <w:i/>
          <w:szCs w:val="22"/>
          <w:lang w:eastAsia="en-US"/>
        </w:rPr>
        <w:t>az Európai Parlament részéről</w:t>
      </w:r>
      <w:r w:rsidRPr="00D75C92">
        <w:rPr>
          <w:rFonts w:eastAsia="Calibri"/>
          <w:i/>
          <w:szCs w:val="22"/>
          <w:lang w:eastAsia="en-US"/>
        </w:rPr>
        <w:tab/>
        <w:t>a Tanács részéről</w:t>
      </w:r>
    </w:p>
    <w:p w:rsidR="00D75C92" w:rsidRPr="00D75C92" w:rsidRDefault="00D75C92" w:rsidP="00D75C92">
      <w:pPr>
        <w:widowControl/>
        <w:tabs>
          <w:tab w:val="left" w:pos="4252"/>
        </w:tabs>
        <w:rPr>
          <w:rFonts w:eastAsia="Calibri"/>
          <w:i/>
          <w:szCs w:val="22"/>
          <w:lang w:eastAsia="en-US"/>
        </w:rPr>
      </w:pPr>
      <w:r w:rsidRPr="00D75C92">
        <w:rPr>
          <w:rFonts w:eastAsia="Calibri"/>
          <w:i/>
          <w:szCs w:val="22"/>
          <w:lang w:eastAsia="en-US"/>
        </w:rPr>
        <w:t>az elnök</w:t>
      </w:r>
      <w:r w:rsidRPr="00D75C92">
        <w:rPr>
          <w:rFonts w:eastAsia="Calibri"/>
          <w:i/>
          <w:szCs w:val="22"/>
          <w:lang w:eastAsia="en-US"/>
        </w:rPr>
        <w:tab/>
        <w:t>az elnök</w:t>
      </w:r>
    </w:p>
    <w:p w:rsidR="00D75C92" w:rsidRPr="00D75C92" w:rsidRDefault="00D75C92" w:rsidP="00D75C92">
      <w:pPr>
        <w:spacing w:after="240"/>
        <w:rPr>
          <w:szCs w:val="20"/>
        </w:rPr>
      </w:pPr>
    </w:p>
    <w:p w:rsidR="00D75C92" w:rsidRPr="00D75C92" w:rsidRDefault="00D75C92" w:rsidP="00D75C92">
      <w:pPr>
        <w:rPr>
          <w:szCs w:val="20"/>
        </w:rPr>
      </w:pPr>
    </w:p>
    <w:p w:rsidR="000F2FE2" w:rsidRPr="00D75C92" w:rsidRDefault="000F2FE2" w:rsidP="008D715A"/>
    <w:sectPr w:rsidR="000F2FE2" w:rsidRPr="00D75C92" w:rsidSect="009844B0">
      <w:footerReference w:type="first" r:id="rId14"/>
      <w:footnotePr>
        <w:numRestart w:val="eachPage"/>
      </w:footnotePr>
      <w:pgSz w:w="11906" w:h="16838" w:code="9"/>
      <w:pgMar w:top="1134" w:right="1418" w:bottom="1418" w:left="1418" w:header="1134" w:footer="56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C0" w:rsidRPr="00D75C92" w:rsidRDefault="002210C0">
      <w:r w:rsidRPr="00D75C92">
        <w:separator/>
      </w:r>
    </w:p>
    <w:p w:rsidR="002210C0" w:rsidRPr="00D75C92" w:rsidRDefault="002210C0"/>
  </w:endnote>
  <w:endnote w:type="continuationSeparator" w:id="0">
    <w:p w:rsidR="002210C0" w:rsidRPr="00D75C92" w:rsidRDefault="002210C0">
      <w:r w:rsidRPr="00D75C92">
        <w:continuationSeparator/>
      </w:r>
    </w:p>
    <w:p w:rsidR="002210C0" w:rsidRPr="00D75C92" w:rsidRDefault="002210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92" w:rsidRDefault="00D75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14" w:rsidRPr="00D75C92" w:rsidRDefault="00D75C92" w:rsidP="00D75C92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6C" w:rsidRPr="00D75C92" w:rsidRDefault="00A3406C" w:rsidP="002E0D12">
    <w:pPr>
      <w:pStyle w:val="EPFooter"/>
    </w:pPr>
    <w:r w:rsidRPr="00D75C92">
      <w:tab/>
    </w:r>
    <w:r w:rsidRPr="00D75C92">
      <w:tab/>
    </w:r>
    <w:r w:rsidR="00B15A17" w:rsidRPr="00D75C92">
      <w:t>PE</w:t>
    </w:r>
    <w:r w:rsidR="00D75C92" w:rsidRPr="00D75C92">
      <w:t>695.812v01-00</w:t>
    </w:r>
  </w:p>
  <w:p w:rsidR="00AA1411" w:rsidRPr="00D75C92" w:rsidRDefault="00D75C92" w:rsidP="00342886">
    <w:pPr>
      <w:pStyle w:val="EPFooter2"/>
      <w:tabs>
        <w:tab w:val="clear" w:pos="4535"/>
        <w:tab w:val="center" w:pos="4536"/>
      </w:tabs>
      <w:ind w:left="-840"/>
    </w:pPr>
    <w:r w:rsidRPr="00D75C92">
      <w:fldChar w:fldCharType="begin"/>
    </w:r>
    <w:r w:rsidRPr="00D75C92">
      <w:instrText xml:space="preserve"> DOCPROPERTY "&lt;Extension&gt;" </w:instrText>
    </w:r>
    <w:r w:rsidRPr="00D75C92">
      <w:fldChar w:fldCharType="separate"/>
    </w:r>
    <w:r>
      <w:t>HU</w:t>
    </w:r>
    <w:r w:rsidRPr="00D75C92">
      <w:fldChar w:fldCharType="end"/>
    </w:r>
    <w:r w:rsidR="00AA1411" w:rsidRPr="00D75C92">
      <w:tab/>
    </w:r>
    <w:r w:rsidRPr="00D75C92">
      <w:rPr>
        <w:b w:val="0"/>
        <w:i/>
        <w:color w:val="C0C0C0"/>
        <w:sz w:val="22"/>
        <w:szCs w:val="22"/>
      </w:rPr>
      <w:t>Egyesülve a sokféleségben</w:t>
    </w:r>
    <w:r w:rsidR="00AA1411" w:rsidRPr="00D75C92">
      <w:tab/>
    </w:r>
    <w:r w:rsidRPr="00D75C92">
      <w:fldChar w:fldCharType="begin"/>
    </w:r>
    <w:r w:rsidRPr="00D75C92">
      <w:instrText xml:space="preserve"> DOCPROPERTY "&lt;Extension&gt;" </w:instrText>
    </w:r>
    <w:r w:rsidRPr="00D75C92">
      <w:fldChar w:fldCharType="separate"/>
    </w:r>
    <w:r>
      <w:t>HU</w:t>
    </w:r>
    <w:r w:rsidRPr="00D75C92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B0" w:rsidRPr="00D75C92" w:rsidRDefault="009844B0" w:rsidP="002E0D12">
    <w:pPr>
      <w:pStyle w:val="EPFooter"/>
    </w:pPr>
    <w:r w:rsidRPr="00D75C92">
      <w:tab/>
    </w:r>
    <w:r w:rsidRPr="00D75C92">
      <w:tab/>
    </w:r>
    <w:r w:rsidR="00B15A17" w:rsidRPr="00D75C92">
      <w:t>PE</w:t>
    </w:r>
    <w:r w:rsidR="00D75C92" w:rsidRPr="00D75C92">
      <w:t>695.812v01-00</w:t>
    </w:r>
  </w:p>
  <w:p w:rsidR="009844B0" w:rsidRPr="00D75C92" w:rsidRDefault="00494D50" w:rsidP="00342886">
    <w:pPr>
      <w:pStyle w:val="EPFooter2"/>
      <w:tabs>
        <w:tab w:val="clear" w:pos="4535"/>
        <w:tab w:val="center" w:pos="4536"/>
      </w:tabs>
      <w:ind w:left="-840"/>
    </w:pPr>
    <w:r w:rsidRPr="00D75C92">
      <w:fldChar w:fldCharType="begin"/>
    </w:r>
    <w:r w:rsidRPr="00D75C92">
      <w:instrText xml:space="preserve"> DOCPROPERTY "&lt;Extension&gt;" </w:instrText>
    </w:r>
    <w:r w:rsidRPr="00D75C92">
      <w:fldChar w:fldCharType="separate"/>
    </w:r>
    <w:r w:rsidR="00D75C92" w:rsidRPr="00D75C92">
      <w:t>HU</w:t>
    </w:r>
    <w:r w:rsidRPr="00D75C92">
      <w:fldChar w:fldCharType="end"/>
    </w:r>
    <w:r w:rsidR="009844B0" w:rsidRPr="00D75C92">
      <w:tab/>
    </w:r>
    <w:r w:rsidR="00D75C92" w:rsidRPr="00D75C92">
      <w:rPr>
        <w:b w:val="0"/>
        <w:i/>
        <w:color w:val="C0C0C0"/>
        <w:sz w:val="22"/>
        <w:szCs w:val="22"/>
      </w:rPr>
      <w:t>Egyesülve a sokféleségben</w:t>
    </w:r>
    <w:r w:rsidR="009844B0" w:rsidRPr="00D75C92">
      <w:tab/>
    </w:r>
    <w:r w:rsidRPr="00D75C92">
      <w:fldChar w:fldCharType="begin"/>
    </w:r>
    <w:r w:rsidRPr="00D75C92">
      <w:instrText xml:space="preserve"> DOCPROPERTY "&lt;Extension&gt;" </w:instrText>
    </w:r>
    <w:r w:rsidRPr="00D75C92">
      <w:fldChar w:fldCharType="separate"/>
    </w:r>
    <w:r w:rsidR="00D75C92" w:rsidRPr="00D75C92">
      <w:t>HU</w:t>
    </w:r>
    <w:r w:rsidRPr="00D75C9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C0" w:rsidRPr="00D75C92" w:rsidRDefault="002210C0">
      <w:r w:rsidRPr="00D75C92">
        <w:separator/>
      </w:r>
    </w:p>
    <w:p w:rsidR="002210C0" w:rsidRPr="00D75C92" w:rsidRDefault="002210C0"/>
  </w:footnote>
  <w:footnote w:type="continuationSeparator" w:id="0">
    <w:p w:rsidR="002210C0" w:rsidRPr="00D75C92" w:rsidRDefault="002210C0">
      <w:r w:rsidRPr="00D75C92">
        <w:continuationSeparator/>
      </w:r>
    </w:p>
    <w:p w:rsidR="002210C0" w:rsidRPr="00D75C92" w:rsidRDefault="002210C0"/>
  </w:footnote>
  <w:footnote w:id="1">
    <w:p w:rsidR="00D75C92" w:rsidRPr="00D75C92" w:rsidRDefault="00D75C92" w:rsidP="00D75C92">
      <w:pPr>
        <w:pStyle w:val="FootnoteText1"/>
        <w:ind w:left="567" w:hanging="567"/>
        <w:jc w:val="left"/>
        <w:rPr>
          <w:sz w:val="24"/>
          <w:szCs w:val="24"/>
          <w:lang w:val="hu-HU"/>
        </w:rPr>
      </w:pPr>
      <w:r w:rsidRPr="00D75C92">
        <w:rPr>
          <w:rStyle w:val="FootnoteReference"/>
          <w:sz w:val="24"/>
          <w:lang w:val="hu-HU"/>
        </w:rPr>
        <w:footnoteRef/>
      </w:r>
      <w:r w:rsidRPr="00D75C92">
        <w:rPr>
          <w:sz w:val="24"/>
          <w:szCs w:val="24"/>
          <w:lang w:val="hu-HU"/>
        </w:rPr>
        <w:t xml:space="preserve"> </w:t>
      </w:r>
      <w:r w:rsidRPr="00D75C92">
        <w:rPr>
          <w:sz w:val="24"/>
          <w:szCs w:val="24"/>
          <w:lang w:val="hu-HU"/>
        </w:rPr>
        <w:tab/>
      </w:r>
      <w:r w:rsidRPr="00D75C92">
        <w:rPr>
          <w:sz w:val="24"/>
          <w:szCs w:val="24"/>
          <w:lang w:val="hu-HU"/>
        </w:rPr>
        <w:t>Az Európai Parlament 2021. november 23-i álláspontja.</w:t>
      </w:r>
    </w:p>
  </w:footnote>
  <w:footnote w:id="2">
    <w:p w:rsidR="00D75C92" w:rsidRPr="00D75C92" w:rsidRDefault="00D75C92" w:rsidP="00D75C92">
      <w:pPr>
        <w:ind w:left="567" w:hanging="567"/>
      </w:pPr>
      <w:r w:rsidRPr="00D75C92">
        <w:rPr>
          <w:rStyle w:val="FootnoteReference"/>
        </w:rPr>
        <w:footnoteRef/>
      </w:r>
      <w:r w:rsidRPr="00D75C92">
        <w:t xml:space="preserve"> </w:t>
      </w:r>
      <w:r w:rsidRPr="00D75C92">
        <w:tab/>
      </w:r>
      <w:r w:rsidRPr="00D75C92">
        <w:t>Az Európai Parlament és a Tanács (EU) 2018/1091 rendelete (2018. július 18.) az integrált mezőgazdasági statisztikákról, valamint az 1166/2008/EK és az 1337/2011/EU rendelet hatályon kívül helyezéséről (</w:t>
      </w:r>
      <w:r w:rsidRPr="00D75C92">
        <w:rPr>
          <w:iCs/>
        </w:rPr>
        <w:t>HL L 200., 2018.8.7., 1. o.).</w:t>
      </w:r>
    </w:p>
  </w:footnote>
  <w:footnote w:id="3">
    <w:p w:rsidR="00D75C92" w:rsidRPr="00D75C92" w:rsidRDefault="00D75C92" w:rsidP="00D75C92">
      <w:pPr>
        <w:ind w:left="567" w:hanging="567"/>
      </w:pPr>
      <w:r w:rsidRPr="00D75C92">
        <w:rPr>
          <w:rStyle w:val="FootnoteReference"/>
        </w:rPr>
        <w:footnoteRef/>
      </w:r>
      <w:r w:rsidRPr="00D75C92">
        <w:t xml:space="preserve"> </w:t>
      </w:r>
      <w:r w:rsidRPr="00D75C92">
        <w:tab/>
      </w:r>
      <w:r w:rsidRPr="00D75C92">
        <w:t>A Tanács (EU, Euratom) 2020/2093 rendelete (2020. december 17.) a 2021–2027-es időszakra vonatkozó többéves pénzügyi keretről (HL L 433</w:t>
      </w:r>
      <w:r w:rsidRPr="00D75C92">
        <w:rPr>
          <w:iCs/>
        </w:rPr>
        <w:t>.</w:t>
      </w:r>
      <w:r w:rsidRPr="00D75C92">
        <w:t> I, 2020.12.22., 11. o.).</w:t>
      </w:r>
    </w:p>
  </w:footnote>
  <w:footnote w:id="4">
    <w:p w:rsidR="00D75C92" w:rsidRPr="00D75C92" w:rsidRDefault="00D75C92" w:rsidP="00D75C92">
      <w:pPr>
        <w:ind w:left="567" w:hanging="567"/>
      </w:pPr>
      <w:r w:rsidRPr="00D75C92">
        <w:rPr>
          <w:rStyle w:val="FootnoteReference"/>
        </w:rPr>
        <w:footnoteRef/>
      </w:r>
      <w:r w:rsidRPr="00D75C92">
        <w:t xml:space="preserve"> </w:t>
      </w:r>
      <w:r w:rsidRPr="00D75C92">
        <w:tab/>
      </w:r>
      <w:r w:rsidRPr="00D75C92">
        <w:t>Az Európai Parlament és a Tanács 223/2009/EK rendelete (2009. március 11.) az európai statisztikákról és a titoktartási kötelezettség hatálya alá tartozó statisztikai adatoknak az Európai Közösségek Statisztikai Hivatala részére történő továbbításáról szóló 1101/2008/EK, Euratom európai parlamenti és tanácsi rendelet, a közösségi statisztikákról szóló 322/97/EK tanácsi rendelet és az Európai Közösségek statisztikai programbizottságának létrehozásáról szóló 89/382/EGK, Euratom tanácsi határozat hatályon kívül helyezéséről (HL L 87., 2009.3.31., 164. o.).</w:t>
      </w:r>
    </w:p>
  </w:footnote>
  <w:footnote w:id="5">
    <w:p w:rsidR="00D75C92" w:rsidRPr="00D75C92" w:rsidRDefault="00D75C92" w:rsidP="00D75C92">
      <w:pPr>
        <w:pStyle w:val="FootnoteText1"/>
        <w:ind w:left="567" w:hanging="567"/>
        <w:jc w:val="left"/>
        <w:rPr>
          <w:rFonts w:eastAsia="Calibri"/>
          <w:sz w:val="24"/>
          <w:szCs w:val="22"/>
          <w:lang w:val="hu-HU"/>
        </w:rPr>
      </w:pPr>
      <w:r w:rsidRPr="00D75C92">
        <w:rPr>
          <w:rStyle w:val="FootnoteReference"/>
          <w:sz w:val="24"/>
          <w:lang w:val="hu-HU"/>
        </w:rPr>
        <w:t>+</w:t>
      </w:r>
      <w:r w:rsidRPr="00D75C92">
        <w:rPr>
          <w:sz w:val="24"/>
          <w:lang w:val="hu-HU"/>
        </w:rPr>
        <w:t xml:space="preserve"> </w:t>
      </w:r>
      <w:r w:rsidRPr="00D75C92">
        <w:rPr>
          <w:sz w:val="24"/>
          <w:lang w:val="hu-HU"/>
        </w:rPr>
        <w:tab/>
      </w:r>
      <w:r w:rsidRPr="00D75C92">
        <w:rPr>
          <w:rFonts w:eastAsia="Calibri"/>
          <w:sz w:val="24"/>
          <w:szCs w:val="22"/>
          <w:lang w:val="hu-HU"/>
        </w:rPr>
        <w:t>Kérjük, illesszék be a szövegbe a PE-CONS 65/21 (2018/0217 (COD)) dokumentumban található rendelet számát, valamint illesszék be a lábjegyzetbe az említett rendelet számát, dátumát és  közzétételi hivatkozását.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92" w:rsidRDefault="00D75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92" w:rsidRDefault="00D75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92" w:rsidRDefault="00D75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&lt;Model&gt;" w:val="TA_TC"/>
    <w:docVar w:name="Date" w:val="23/11/2021"/>
    <w:docVar w:name="DOCDT" w:val="23/11/2021"/>
    <w:docVar w:name="LastEditedSection" w:val=" 1"/>
    <w:docVar w:name="LVLMNU" w:val="1"/>
    <w:docVar w:name="Num-PE" w:val="695.812v01-00"/>
    <w:docVar w:name="strDocTypeID" w:val="TA_TC"/>
    <w:docVar w:name="strSubDir" w:val="P9_"/>
    <w:docVar w:name="TA_Type" w:val="TA_TC"/>
    <w:docVar w:name="Titre" w:val="amely első olvasatban 2021. november 23-án került elfogadásra az (EU) 2018/1091 rendeletnek a 2021–2027 közötti időszakra szóló többéves pénzügyi keret megállapításáról szóló (EU, Euratom) 2020/2093 tanácsi rendelet szerinti, az  integrált mezőgazdasági statisztikákhoz nyújtott uniós hozzájárulás tekintetében történő módosításáról szóló (EU) 2021/...európai parlamenti és tanácsi rendelet elfogadására tekintettel (EP-PE_TC1-COD(2021)0270)"/>
    <w:docVar w:name="Titre-Type" w:val="AZ EURÓPAI PARLAMENT ÁLLÁSPONTJA"/>
    <w:docVar w:name="TXTLANGUE" w:val="HU"/>
    <w:docVar w:name="TXTLANGUEMIN" w:val="hu"/>
    <w:docVar w:name="TXTNRCOD" w:val="0270"/>
    <w:docVar w:name="TXTNRPE" w:val="695.812v01-00"/>
    <w:docVar w:name="TXTPEorAP" w:val="PE"/>
    <w:docVar w:name="TXTREFSOURCE" w:val="EP-PE_TC1-COD(2021)0270"/>
    <w:docVar w:name="TXTROUTE" w:val="RR\P9_TA-PROV(2021)0000_A9-0310_2021_HU_net_HU.docx"/>
    <w:docVar w:name="TXTRULE" w:val="amely első olvasatban 2021. november 23-án került elfogadásra az (EU) 2018/1091 rendeletnek a 2021–2027 közötti időszakra szóló többéves pénzügyi keret megállapításáról szóló (EU, Euratom) 2020/2093 tanácsi rendelet szerinti, az  integrált mezőgazdasági statisztikákhoz nyújtott uniós hozzájárulás tekintetében történő módosításáról szóló (EU) 2021/...európai parlamenti és tanácsi rendelet elfogadására tekintettel"/>
    <w:docVar w:name="TXTRULE2" w:val="!ZZRULE2!"/>
    <w:docVar w:name="TXTRULE3" w:val="!ZZRULE3!"/>
    <w:docVar w:name="TXTYEAR" w:val="2021"/>
  </w:docVars>
  <w:rsids>
    <w:rsidRoot w:val="002210C0"/>
    <w:rsid w:val="00027017"/>
    <w:rsid w:val="00043BA5"/>
    <w:rsid w:val="000474B0"/>
    <w:rsid w:val="000502A5"/>
    <w:rsid w:val="000756C8"/>
    <w:rsid w:val="0009459A"/>
    <w:rsid w:val="000C620D"/>
    <w:rsid w:val="000E5181"/>
    <w:rsid w:val="000F2FE2"/>
    <w:rsid w:val="00123692"/>
    <w:rsid w:val="001502E1"/>
    <w:rsid w:val="00152E08"/>
    <w:rsid w:val="001A7617"/>
    <w:rsid w:val="002210C0"/>
    <w:rsid w:val="002215E8"/>
    <w:rsid w:val="00243603"/>
    <w:rsid w:val="00253BB0"/>
    <w:rsid w:val="002611DA"/>
    <w:rsid w:val="002747B0"/>
    <w:rsid w:val="00287114"/>
    <w:rsid w:val="002A2A21"/>
    <w:rsid w:val="002B02A0"/>
    <w:rsid w:val="002E0D12"/>
    <w:rsid w:val="002E103F"/>
    <w:rsid w:val="003058E0"/>
    <w:rsid w:val="00320173"/>
    <w:rsid w:val="0032447B"/>
    <w:rsid w:val="00330FEA"/>
    <w:rsid w:val="00342886"/>
    <w:rsid w:val="003440CF"/>
    <w:rsid w:val="00376230"/>
    <w:rsid w:val="003813A9"/>
    <w:rsid w:val="003953F6"/>
    <w:rsid w:val="00395B64"/>
    <w:rsid w:val="003F247C"/>
    <w:rsid w:val="00407D75"/>
    <w:rsid w:val="004379F2"/>
    <w:rsid w:val="00482700"/>
    <w:rsid w:val="00494D50"/>
    <w:rsid w:val="00523372"/>
    <w:rsid w:val="00580C51"/>
    <w:rsid w:val="005A1111"/>
    <w:rsid w:val="005C4BEC"/>
    <w:rsid w:val="005C637F"/>
    <w:rsid w:val="005E195A"/>
    <w:rsid w:val="005F6117"/>
    <w:rsid w:val="00611C94"/>
    <w:rsid w:val="00612181"/>
    <w:rsid w:val="00624C56"/>
    <w:rsid w:val="00625E53"/>
    <w:rsid w:val="006305F0"/>
    <w:rsid w:val="0065496C"/>
    <w:rsid w:val="006A5C48"/>
    <w:rsid w:val="006D2788"/>
    <w:rsid w:val="006E3857"/>
    <w:rsid w:val="006F4902"/>
    <w:rsid w:val="00733242"/>
    <w:rsid w:val="007567DF"/>
    <w:rsid w:val="007C5179"/>
    <w:rsid w:val="007D1D58"/>
    <w:rsid w:val="007D769C"/>
    <w:rsid w:val="00821B14"/>
    <w:rsid w:val="00830287"/>
    <w:rsid w:val="00846F4F"/>
    <w:rsid w:val="008639EF"/>
    <w:rsid w:val="008C5553"/>
    <w:rsid w:val="008D3F7E"/>
    <w:rsid w:val="008D61B8"/>
    <w:rsid w:val="008D715A"/>
    <w:rsid w:val="00910A8D"/>
    <w:rsid w:val="0096592A"/>
    <w:rsid w:val="009844B0"/>
    <w:rsid w:val="009B5D8A"/>
    <w:rsid w:val="00A04F8B"/>
    <w:rsid w:val="00A20422"/>
    <w:rsid w:val="00A3406C"/>
    <w:rsid w:val="00A51CB9"/>
    <w:rsid w:val="00A51D8B"/>
    <w:rsid w:val="00AA1411"/>
    <w:rsid w:val="00AA2401"/>
    <w:rsid w:val="00AA4458"/>
    <w:rsid w:val="00AC3AA6"/>
    <w:rsid w:val="00B1598D"/>
    <w:rsid w:val="00B15A17"/>
    <w:rsid w:val="00B3321B"/>
    <w:rsid w:val="00B854C4"/>
    <w:rsid w:val="00B86D85"/>
    <w:rsid w:val="00B94A60"/>
    <w:rsid w:val="00BE0112"/>
    <w:rsid w:val="00BE4A46"/>
    <w:rsid w:val="00BE4AC1"/>
    <w:rsid w:val="00C00125"/>
    <w:rsid w:val="00C52FA5"/>
    <w:rsid w:val="00C539FA"/>
    <w:rsid w:val="00CC358E"/>
    <w:rsid w:val="00D06995"/>
    <w:rsid w:val="00D12572"/>
    <w:rsid w:val="00D217F0"/>
    <w:rsid w:val="00D51D39"/>
    <w:rsid w:val="00D5737D"/>
    <w:rsid w:val="00D65CB7"/>
    <w:rsid w:val="00D75C92"/>
    <w:rsid w:val="00DC49CB"/>
    <w:rsid w:val="00DD1790"/>
    <w:rsid w:val="00DD59A2"/>
    <w:rsid w:val="00DE1919"/>
    <w:rsid w:val="00E0132F"/>
    <w:rsid w:val="00E37826"/>
    <w:rsid w:val="00E75238"/>
    <w:rsid w:val="00E91480"/>
    <w:rsid w:val="00ED7C88"/>
    <w:rsid w:val="00EF4EBC"/>
    <w:rsid w:val="00F82DEC"/>
    <w:rsid w:val="00F9322F"/>
    <w:rsid w:val="00F946C8"/>
    <w:rsid w:val="00F97088"/>
    <w:rsid w:val="00FA48DA"/>
    <w:rsid w:val="00F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C54D2"/>
  <w15:chartTrackingRefBased/>
  <w15:docId w15:val="{EF5047D1-6578-489A-B7BF-76709333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95"/>
    <w:pPr>
      <w:widowControl w:val="0"/>
    </w:pPr>
    <w:rPr>
      <w:sz w:val="24"/>
      <w:szCs w:val="24"/>
      <w:lang w:val="hu-HU"/>
    </w:rPr>
  </w:style>
  <w:style w:type="paragraph" w:styleId="Heading1">
    <w:name w:val="heading 1"/>
    <w:basedOn w:val="Normal"/>
    <w:next w:val="Normal"/>
    <w:link w:val="Heading1Char"/>
    <w:semiHidden/>
    <w:qFormat/>
    <w:rsid w:val="00E378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F6117"/>
    <w:pPr>
      <w:tabs>
        <w:tab w:val="center" w:pos="4513"/>
        <w:tab w:val="right" w:pos="9026"/>
      </w:tabs>
    </w:pPr>
  </w:style>
  <w:style w:type="paragraph" w:styleId="BodyTextIndent">
    <w:name w:val="Body Text Indent"/>
    <w:basedOn w:val="Normal"/>
    <w:semiHidden/>
    <w:rsid w:val="00BE4AC1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ind w:left="1701"/>
    </w:pPr>
    <w:rPr>
      <w:rFonts w:ascii="Arial" w:hAnsi="Arial"/>
      <w:b/>
      <w:sz w:val="48"/>
      <w:szCs w:val="20"/>
      <w:lang w:val="fr-FR"/>
    </w:rPr>
  </w:style>
  <w:style w:type="character" w:customStyle="1" w:styleId="HideTWBExt">
    <w:name w:val="HideTWBExt"/>
    <w:rsid w:val="00BE4AC1"/>
    <w:rPr>
      <w:rFonts w:ascii="Arial" w:hAnsi="Arial"/>
      <w:noProof/>
      <w:vanish/>
      <w:color w:val="000080"/>
      <w:sz w:val="20"/>
    </w:rPr>
  </w:style>
  <w:style w:type="character" w:customStyle="1" w:styleId="FooterChar">
    <w:name w:val="Footer Char"/>
    <w:basedOn w:val="DefaultParagraphFont"/>
    <w:link w:val="Footer"/>
    <w:semiHidden/>
    <w:rsid w:val="00D06995"/>
    <w:rPr>
      <w:sz w:val="24"/>
      <w:szCs w:val="24"/>
    </w:rPr>
  </w:style>
  <w:style w:type="table" w:styleId="TableGrid">
    <w:name w:val="Table Grid"/>
    <w:basedOn w:val="TableNormal"/>
    <w:rsid w:val="00BE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CC358E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BE4AC1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330FEA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character" w:customStyle="1" w:styleId="HideTWBInt">
    <w:name w:val="HideTWBInt"/>
    <w:rsid w:val="00D06995"/>
    <w:rPr>
      <w:rFonts w:ascii="Arial" w:hAnsi="Arial" w:cs="Arial"/>
      <w:vanish/>
      <w:color w:val="808080"/>
      <w:sz w:val="20"/>
    </w:rPr>
  </w:style>
  <w:style w:type="paragraph" w:customStyle="1" w:styleId="CoverDocType">
    <w:name w:val="CoverDocType"/>
    <w:basedOn w:val="Normal"/>
    <w:rsid w:val="00BE0112"/>
    <w:pPr>
      <w:ind w:left="1418"/>
    </w:pPr>
    <w:rPr>
      <w:rFonts w:ascii="Arial" w:hAnsi="Arial"/>
      <w:b/>
      <w:bCs/>
      <w:sz w:val="48"/>
    </w:rPr>
  </w:style>
  <w:style w:type="paragraph" w:customStyle="1" w:styleId="EPFooter2">
    <w:name w:val="EPFooter2"/>
    <w:basedOn w:val="Normal"/>
    <w:next w:val="Normal"/>
    <w:rsid w:val="00CC358E"/>
    <w:pPr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  <w:szCs w:val="20"/>
    </w:rPr>
  </w:style>
  <w:style w:type="character" w:styleId="PageNumber">
    <w:name w:val="page number"/>
    <w:basedOn w:val="DefaultParagraphFont"/>
    <w:semiHidden/>
    <w:rsid w:val="00BE4AC1"/>
  </w:style>
  <w:style w:type="paragraph" w:styleId="Header">
    <w:name w:val="header"/>
    <w:basedOn w:val="Normal"/>
    <w:link w:val="HeaderChar"/>
    <w:semiHidden/>
    <w:rsid w:val="00A340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BE0112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305F0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BE0112"/>
  </w:style>
  <w:style w:type="character" w:styleId="EndnoteReference">
    <w:name w:val="endnote reference"/>
    <w:semiHidden/>
    <w:rsid w:val="006305F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305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C637F"/>
  </w:style>
  <w:style w:type="character" w:styleId="FootnoteReference">
    <w:name w:val="footnote reference"/>
    <w:semiHidden/>
    <w:rsid w:val="006305F0"/>
    <w:rPr>
      <w:vertAlign w:val="superscript"/>
    </w:rPr>
  </w:style>
  <w:style w:type="paragraph" w:customStyle="1" w:styleId="EPName">
    <w:name w:val="EPName"/>
    <w:basedOn w:val="Normal"/>
    <w:rsid w:val="00580C51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580C51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580C51"/>
    <w:pPr>
      <w:jc w:val="right"/>
    </w:pPr>
    <w:rPr>
      <w:szCs w:val="20"/>
    </w:rPr>
  </w:style>
  <w:style w:type="paragraph" w:customStyle="1" w:styleId="CoverDocType24a">
    <w:name w:val="CoverDocType24a"/>
    <w:basedOn w:val="Normal"/>
    <w:rsid w:val="00BE0112"/>
    <w:pPr>
      <w:spacing w:after="480"/>
      <w:ind w:left="1418"/>
    </w:pPr>
    <w:rPr>
      <w:rFonts w:ascii="Arial" w:hAnsi="Arial"/>
      <w:b/>
      <w:bCs/>
      <w:sz w:val="48"/>
    </w:rPr>
  </w:style>
  <w:style w:type="paragraph" w:customStyle="1" w:styleId="CoverNormal">
    <w:name w:val="CoverNormal"/>
    <w:basedOn w:val="Normal"/>
    <w:rsid w:val="00BE0112"/>
    <w:pPr>
      <w:ind w:left="1418"/>
    </w:pPr>
  </w:style>
  <w:style w:type="paragraph" w:customStyle="1" w:styleId="EPFooter">
    <w:name w:val="EPFooter"/>
    <w:basedOn w:val="Normal"/>
    <w:rsid w:val="005F6117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ing1Char">
    <w:name w:val="Heading 1 Char"/>
    <w:basedOn w:val="DefaultParagraphFont"/>
    <w:link w:val="Heading1"/>
    <w:semiHidden/>
    <w:rsid w:val="00E37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37826"/>
    <w:pPr>
      <w:spacing w:after="240"/>
    </w:pPr>
  </w:style>
  <w:style w:type="paragraph" w:customStyle="1" w:styleId="CoverReference">
    <w:name w:val="CoverReference"/>
    <w:basedOn w:val="Normal"/>
    <w:rsid w:val="00D06995"/>
    <w:pPr>
      <w:spacing w:before="1080"/>
      <w:jc w:val="right"/>
    </w:pPr>
    <w:rPr>
      <w:rFonts w:ascii="Arial" w:hAnsi="Arial" w:cs="Arial"/>
      <w:b/>
      <w:szCs w:val="20"/>
    </w:rPr>
  </w:style>
  <w:style w:type="paragraph" w:customStyle="1" w:styleId="CoverDate">
    <w:name w:val="CoverDate"/>
    <w:basedOn w:val="Normal"/>
    <w:rsid w:val="00D06995"/>
    <w:pPr>
      <w:spacing w:before="240" w:after="1200"/>
    </w:pPr>
    <w:rPr>
      <w:szCs w:val="20"/>
    </w:rPr>
  </w:style>
  <w:style w:type="paragraph" w:customStyle="1" w:styleId="HeadingCenter24a">
    <w:name w:val="HeadingCenter24a"/>
    <w:basedOn w:val="Normal"/>
    <w:rsid w:val="008D715A"/>
    <w:pPr>
      <w:spacing w:after="480"/>
      <w:jc w:val="center"/>
    </w:pPr>
    <w:rPr>
      <w:b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D75C92"/>
    <w:pPr>
      <w:widowControl/>
      <w:jc w:val="both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D3CB-F206-4F54-80E1-A061DBC7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770</Words>
  <Characters>5394</Characters>
  <Application>Microsoft Office Word</Application>
  <DocSecurity>0</DocSecurity>
  <Lines>110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SALAT Adriana </dc:creator>
  <cp:keywords/>
  <cp:lastModifiedBy>SALAT Adriana </cp:lastModifiedBy>
  <cp:revision>2</cp:revision>
  <dcterms:created xsi:type="dcterms:W3CDTF">2021-11-26T08:58:00Z</dcterms:created>
  <dcterms:modified xsi:type="dcterms:W3CDTF">2021-11-26T08:58:00Z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Model&gt;">
    <vt:lpwstr>TA_TC</vt:lpwstr>
  </property>
  <property fmtid="{D5CDD505-2E9C-101B-9397-08002B2CF9AE}" pid="4" name="&lt;Type&gt;">
    <vt:lpwstr>RR</vt:lpwstr>
  </property>
  <property fmtid="{D5CDD505-2E9C-101B-9397-08002B2CF9AE}" pid="5" name="PE number">
    <vt:lpwstr>695.812v01-00</vt:lpwstr>
  </property>
  <property fmtid="{D5CDD505-2E9C-101B-9397-08002B2CF9AE}" pid="6" name="Created with">
    <vt:lpwstr>9.11.0 Build [20211103]</vt:lpwstr>
  </property>
  <property fmtid="{D5CDD505-2E9C-101B-9397-08002B2CF9AE}" pid="7" name="LastEdited with">
    <vt:lpwstr>9.11.0 Build [20211103]</vt:lpwstr>
  </property>
  <property fmtid="{D5CDD505-2E9C-101B-9397-08002B2CF9AE}" pid="8" name="&lt;FdR&gt;">
    <vt:lpwstr>P9_TA-PROV(2021)0000_A9-0310_2021_HU_net_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RR\P9_TA-PROV(2021)0000_A9-0310_2021_HU_net_HU.docx</vt:lpwstr>
  </property>
</Properties>
</file>