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494D50" w:rsidRPr="00CD6D50" w:rsidTr="00C85D0F">
        <w:trPr>
          <w:trHeight w:hRule="exact" w:val="1418"/>
        </w:trPr>
        <w:tc>
          <w:tcPr>
            <w:tcW w:w="6804" w:type="dxa"/>
            <w:shd w:val="clear" w:color="auto" w:fill="auto"/>
            <w:vAlign w:val="center"/>
          </w:tcPr>
          <w:p w:rsidR="00494D50" w:rsidRPr="00CD6D50" w:rsidRDefault="00EE2E3E" w:rsidP="00C85D0F">
            <w:pPr>
              <w:pStyle w:val="EPName"/>
            </w:pPr>
            <w:bookmarkStart w:id="0" w:name="_GoBack"/>
            <w:bookmarkEnd w:id="0"/>
            <w:r w:rsidRPr="00CD6D50">
              <w:t>Parlamentul European</w:t>
            </w:r>
          </w:p>
          <w:p w:rsidR="00494D50" w:rsidRPr="00CD6D50" w:rsidRDefault="00CD6D50" w:rsidP="00CD6D50">
            <w:pPr>
              <w:pStyle w:val="EPTerm"/>
            </w:pPr>
            <w:r w:rsidRPr="00CD6D50">
              <w:t>2019-2024</w:t>
            </w:r>
          </w:p>
        </w:tc>
        <w:tc>
          <w:tcPr>
            <w:tcW w:w="2268" w:type="dxa"/>
            <w:shd w:val="clear" w:color="auto" w:fill="auto"/>
          </w:tcPr>
          <w:p w:rsidR="00494D50" w:rsidRPr="00CD6D50" w:rsidRDefault="00494D50" w:rsidP="00C85D0F">
            <w:pPr>
              <w:pStyle w:val="EPLogo"/>
            </w:pPr>
            <w:r w:rsidRPr="00CD6D50">
              <w:rPr>
                <w:lang w:eastAsia="ro-RO"/>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BE4AC1" w:rsidRPr="00CD6D50" w:rsidRDefault="00BE4AC1" w:rsidP="00BE4AC1">
      <w:pPr>
        <w:pStyle w:val="LineTop"/>
      </w:pPr>
    </w:p>
    <w:p w:rsidR="00BE4AC1" w:rsidRPr="00CD6D50" w:rsidRDefault="00EE2E3E" w:rsidP="00BE4AC1">
      <w:pPr>
        <w:pStyle w:val="EPBody"/>
      </w:pPr>
      <w:r w:rsidRPr="00CD6D50">
        <w:t>Document legislativ consolidat</w:t>
      </w:r>
    </w:p>
    <w:p w:rsidR="00BE4AC1" w:rsidRPr="00CD6D50" w:rsidRDefault="00BE4AC1" w:rsidP="00330FEA">
      <w:pPr>
        <w:pStyle w:val="LineBottom"/>
      </w:pPr>
    </w:p>
    <w:p w:rsidR="00D06995" w:rsidRPr="00CD6D50" w:rsidRDefault="00CD6D50" w:rsidP="00D06995">
      <w:pPr>
        <w:pStyle w:val="CoverReference"/>
      </w:pPr>
      <w:r w:rsidRPr="00CD6D50">
        <w:t>EP-PE_TC1-COD(2022)0016</w:t>
      </w:r>
    </w:p>
    <w:p w:rsidR="00D06995" w:rsidRPr="00CD6D50" w:rsidRDefault="00CD6D50" w:rsidP="00D06995">
      <w:pPr>
        <w:pStyle w:val="CoverDate"/>
      </w:pPr>
      <w:r w:rsidRPr="00CD6D50">
        <w:rPr>
          <w:rStyle w:val="HideTWBInt"/>
        </w:rPr>
        <w:t>{05/04/2022}</w:t>
      </w:r>
      <w:r w:rsidRPr="00CD6D50">
        <w:t>5.4.2022</w:t>
      </w:r>
    </w:p>
    <w:p w:rsidR="00BE4AC1" w:rsidRPr="00CD6D50" w:rsidRDefault="00CD6D50" w:rsidP="00CC358E">
      <w:pPr>
        <w:pStyle w:val="CoverDocType"/>
      </w:pPr>
      <w:r w:rsidRPr="00CD6D50">
        <w:t>***I</w:t>
      </w:r>
    </w:p>
    <w:p w:rsidR="00BE4AC1" w:rsidRPr="00CD6D50" w:rsidRDefault="00EE2E3E" w:rsidP="00BE0112">
      <w:pPr>
        <w:pStyle w:val="CoverDocType24a"/>
      </w:pPr>
      <w:r w:rsidRPr="00CD6D50">
        <w:t>POZIŢIA PARLAMENTULUI EUROPEAN</w:t>
      </w:r>
    </w:p>
    <w:p w:rsidR="0096592A" w:rsidRPr="00CD6D50" w:rsidRDefault="00CD6D50" w:rsidP="00BE0112">
      <w:pPr>
        <w:pStyle w:val="CoverNormal"/>
      </w:pPr>
      <w:r w:rsidRPr="00CD6D50">
        <w:t>adoptată în primă lectură la 5 aprilie 2022 în vederea adoptării Deciziei (UE) 2022/... a Parlamentului European și a Consiliului de modificare a Deciziei 2003/17/CE a Consiliului în ceea ce privește perioada de aplicare și în ceea ce privește echivalența inspecțiilor în câmp efectuate în Bolivia asupra culturilor producătoare de semințe de cereale și asupra culturilor producătoare de semințe de plante oleaginoase și pentru fibre și echivalența semințelor de cereale și a semințelor de plante oleaginoase și pentru fibre produse în Bolivia</w:t>
      </w:r>
    </w:p>
    <w:p w:rsidR="00BE4AC1" w:rsidRPr="00CD6D50" w:rsidRDefault="00BE4AC1" w:rsidP="00BE0112">
      <w:pPr>
        <w:pStyle w:val="CoverNormal"/>
      </w:pPr>
      <w:r w:rsidRPr="00CD6D50">
        <w:t>(</w:t>
      </w:r>
      <w:r w:rsidR="00CD6D50" w:rsidRPr="00CD6D50">
        <w:t>EP-PE_TC1-COD(2022)0016</w:t>
      </w:r>
      <w:r w:rsidRPr="00CD6D50">
        <w:t>)</w:t>
      </w:r>
    </w:p>
    <w:p w:rsidR="001A7617" w:rsidRPr="00CD6D50" w:rsidRDefault="001A7617" w:rsidP="00BE0112">
      <w:pPr>
        <w:pStyle w:val="CoverNormal"/>
      </w:pPr>
    </w:p>
    <w:p w:rsidR="00BE0112" w:rsidRPr="00CD6D50" w:rsidRDefault="00BE0112" w:rsidP="009844B0"/>
    <w:p w:rsidR="00BE0112" w:rsidRPr="00CD6D50" w:rsidRDefault="00BE0112" w:rsidP="009844B0">
      <w:pPr>
        <w:sectPr w:rsidR="00BE0112" w:rsidRPr="00CD6D50" w:rsidSect="00CD6D50">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6" w:h="16838" w:code="9"/>
          <w:pgMar w:top="1134" w:right="1418" w:bottom="1418" w:left="1418" w:header="1134" w:footer="567" w:gutter="0"/>
          <w:pgNumType w:fmt="numberInDash" w:start="0"/>
          <w:cols w:space="720"/>
          <w:titlePg/>
        </w:sectPr>
      </w:pPr>
    </w:p>
    <w:p w:rsidR="00A51CB9" w:rsidRPr="00CD6D50" w:rsidRDefault="00EE2E3E" w:rsidP="008D715A">
      <w:pPr>
        <w:pStyle w:val="HeadingCenter24a"/>
      </w:pPr>
      <w:r w:rsidRPr="00CD6D50">
        <w:lastRenderedPageBreak/>
        <w:t>POZIŢIA PARLAMENTULUI EUROPEAN</w:t>
      </w:r>
    </w:p>
    <w:p w:rsidR="0032447B" w:rsidRPr="00CD6D50" w:rsidRDefault="00CD6D50" w:rsidP="008D715A">
      <w:pPr>
        <w:pStyle w:val="HeadingCenter24a"/>
      </w:pPr>
      <w:r w:rsidRPr="00CD6D50">
        <w:rPr>
          <w:rFonts w:eastAsia="Calibri"/>
        </w:rPr>
        <w:t xml:space="preserve">adoptată în primă lectură la 5 aprilie 2022 </w:t>
      </w:r>
    </w:p>
    <w:p w:rsidR="00523372" w:rsidRPr="00CD6D50" w:rsidRDefault="00CD6D50" w:rsidP="008D715A">
      <w:pPr>
        <w:pStyle w:val="HeadingCenter24a"/>
      </w:pPr>
      <w:r w:rsidRPr="00CD6D50">
        <w:rPr>
          <w:rFonts w:eastAsia="Calibri"/>
        </w:rPr>
        <w:t xml:space="preserve">în vederea adoptării Deciziei (UE) 2022/... a Parlamentului European și a Consiliului </w:t>
      </w:r>
      <w:r w:rsidRPr="00CD6D50">
        <w:rPr>
          <w:rFonts w:eastAsia="Calibri"/>
          <w:color w:val="000000"/>
          <w:szCs w:val="22"/>
        </w:rPr>
        <w:t>de modificare a Deciziei 2003/17/CE a Consiliului în ceea ce privește perioada de aplicare și în ceea ce privește echivalența inspecțiilor în câmp efectuate în Bolivia asupra culturilor producătoare de semințe de cereale și asupra culturilor producătoare de semințe de plante oleaginoase și pentru fibre și echivalența semințelor de cereale și a semințelor de plante oleaginoase și pentru fibre produse în Bolivia</w:t>
      </w:r>
    </w:p>
    <w:p w:rsidR="00CD6D50" w:rsidRPr="00CD6D50" w:rsidRDefault="00CD6D50" w:rsidP="00CD6D50">
      <w:pPr>
        <w:spacing w:before="360" w:after="240" w:line="360" w:lineRule="auto"/>
        <w:jc w:val="center"/>
        <w:rPr>
          <w:rFonts w:eastAsia="Calibri"/>
          <w:color w:val="000000"/>
          <w:szCs w:val="22"/>
        </w:rPr>
      </w:pPr>
      <w:r w:rsidRPr="00CD6D50">
        <w:rPr>
          <w:rFonts w:eastAsia="Calibri"/>
          <w:color w:val="000000"/>
          <w:szCs w:val="22"/>
        </w:rPr>
        <w:t>(Text cu relevanță pentru SEE)</w:t>
      </w:r>
    </w:p>
    <w:p w:rsidR="00CD6D50" w:rsidRPr="00CD6D50" w:rsidRDefault="00CD6D50" w:rsidP="00CD6D50">
      <w:pPr>
        <w:keepNext/>
        <w:spacing w:before="600" w:after="120" w:line="360" w:lineRule="auto"/>
        <w:rPr>
          <w:rFonts w:eastAsia="Calibri"/>
          <w:color w:val="000000"/>
          <w:szCs w:val="22"/>
        </w:rPr>
      </w:pPr>
      <w:r w:rsidRPr="00CD6D50">
        <w:rPr>
          <w:rFonts w:eastAsia="Calibri"/>
          <w:color w:val="000000"/>
          <w:szCs w:val="22"/>
        </w:rPr>
        <w:t>PARLAMENTUL EUROPEAN ȘI CONSILIUL UNIUNII EUROPENE,</w:t>
      </w:r>
    </w:p>
    <w:p w:rsidR="00CD6D50" w:rsidRPr="00CD6D50" w:rsidRDefault="00CD6D50" w:rsidP="00CD6D50">
      <w:pPr>
        <w:spacing w:before="120" w:after="120" w:line="360" w:lineRule="auto"/>
        <w:rPr>
          <w:rFonts w:eastAsia="Calibri"/>
          <w:color w:val="000000"/>
          <w:szCs w:val="22"/>
        </w:rPr>
      </w:pPr>
      <w:r w:rsidRPr="00CD6D50">
        <w:rPr>
          <w:rFonts w:eastAsia="Calibri"/>
          <w:color w:val="000000"/>
          <w:szCs w:val="22"/>
        </w:rPr>
        <w:t>având în vedere Tratatul privind funcționarea Uniunii Europene, în special articolul 43 alineatul (2),</w:t>
      </w:r>
    </w:p>
    <w:p w:rsidR="00CD6D50" w:rsidRPr="00CD6D50" w:rsidRDefault="00CD6D50" w:rsidP="00CD6D50">
      <w:pPr>
        <w:spacing w:before="120" w:after="120" w:line="360" w:lineRule="auto"/>
        <w:rPr>
          <w:rFonts w:eastAsia="Calibri"/>
          <w:color w:val="000000"/>
          <w:szCs w:val="22"/>
        </w:rPr>
      </w:pPr>
      <w:r w:rsidRPr="00CD6D50">
        <w:rPr>
          <w:rFonts w:eastAsia="Calibri"/>
          <w:color w:val="000000"/>
          <w:szCs w:val="22"/>
        </w:rPr>
        <w:t>având în vedere propunerea Comisiei Europene,</w:t>
      </w:r>
    </w:p>
    <w:p w:rsidR="00CD6D50" w:rsidRPr="00CD6D50" w:rsidRDefault="00CD6D50" w:rsidP="00CD6D50">
      <w:pPr>
        <w:spacing w:before="120" w:after="120" w:line="360" w:lineRule="auto"/>
        <w:rPr>
          <w:rFonts w:eastAsia="Calibri"/>
          <w:color w:val="000000"/>
          <w:szCs w:val="22"/>
        </w:rPr>
      </w:pPr>
      <w:r w:rsidRPr="00CD6D50">
        <w:rPr>
          <w:rFonts w:eastAsia="Calibri"/>
          <w:color w:val="000000"/>
          <w:szCs w:val="22"/>
        </w:rPr>
        <w:t>după transmiterea proiectului de act legislativ către parlamentele naționale,</w:t>
      </w:r>
    </w:p>
    <w:p w:rsidR="00CD6D50" w:rsidRPr="00CD6D50" w:rsidRDefault="00CD6D50" w:rsidP="00CD6D50">
      <w:pPr>
        <w:spacing w:before="120" w:after="120" w:line="360" w:lineRule="auto"/>
        <w:rPr>
          <w:rFonts w:eastAsia="Calibri"/>
          <w:color w:val="000000"/>
          <w:szCs w:val="22"/>
        </w:rPr>
      </w:pPr>
      <w:r w:rsidRPr="00CD6D50">
        <w:rPr>
          <w:rFonts w:eastAsia="Calibri"/>
          <w:color w:val="000000"/>
          <w:szCs w:val="22"/>
        </w:rPr>
        <w:t>având în vedere avizul Comitetului Economic și Social European</w:t>
      </w:r>
      <w:r w:rsidRPr="00CD6D50">
        <w:rPr>
          <w:rFonts w:eastAsia="Calibri"/>
          <w:color w:val="000000"/>
          <w:szCs w:val="22"/>
          <w:vertAlign w:val="superscript"/>
        </w:rPr>
        <w:footnoteReference w:id="1"/>
      </w:r>
      <w:r w:rsidRPr="00CD6D50">
        <w:rPr>
          <w:rFonts w:eastAsia="Calibri"/>
          <w:color w:val="000000"/>
          <w:szCs w:val="22"/>
        </w:rPr>
        <w:t>,</w:t>
      </w:r>
    </w:p>
    <w:p w:rsidR="00CD6D50" w:rsidRPr="00CD6D50" w:rsidRDefault="00CD6D50" w:rsidP="00CD6D50">
      <w:pPr>
        <w:spacing w:before="120" w:after="120" w:line="360" w:lineRule="auto"/>
        <w:rPr>
          <w:rFonts w:eastAsia="Calibri"/>
          <w:color w:val="000000"/>
          <w:szCs w:val="22"/>
        </w:rPr>
      </w:pPr>
      <w:r w:rsidRPr="00CD6D50">
        <w:rPr>
          <w:rFonts w:eastAsia="Calibri"/>
          <w:color w:val="000000"/>
          <w:szCs w:val="22"/>
        </w:rPr>
        <w:t>hotărând în conformitate cu procedura legislativă ordinară</w:t>
      </w:r>
      <w:r w:rsidRPr="00CD6D50">
        <w:rPr>
          <w:rFonts w:eastAsia="Calibri"/>
          <w:color w:val="000000"/>
          <w:szCs w:val="22"/>
          <w:vertAlign w:val="superscript"/>
        </w:rPr>
        <w:footnoteReference w:id="2"/>
      </w:r>
      <w:r w:rsidRPr="00CD6D50">
        <w:rPr>
          <w:rFonts w:eastAsia="Calibri"/>
          <w:color w:val="000000"/>
          <w:szCs w:val="22"/>
        </w:rPr>
        <w:t>,</w:t>
      </w:r>
    </w:p>
    <w:p w:rsidR="00CD6D50" w:rsidRPr="00CD6D50" w:rsidRDefault="00CD6D50" w:rsidP="00CD6D50">
      <w:pPr>
        <w:rPr>
          <w:rFonts w:eastAsia="Calibri"/>
          <w:color w:val="000000"/>
          <w:szCs w:val="22"/>
        </w:rPr>
      </w:pPr>
      <w:r w:rsidRPr="00CD6D50">
        <w:rPr>
          <w:rFonts w:eastAsia="Calibri"/>
          <w:color w:val="000000"/>
          <w:szCs w:val="22"/>
        </w:rPr>
        <w:br w:type="page"/>
      </w:r>
    </w:p>
    <w:p w:rsidR="00CD6D50" w:rsidRPr="00CD6D50" w:rsidRDefault="00CD6D50" w:rsidP="00CD6D50">
      <w:pPr>
        <w:spacing w:before="120" w:after="120" w:line="360" w:lineRule="auto"/>
        <w:rPr>
          <w:rFonts w:eastAsia="Calibri"/>
          <w:color w:val="000000"/>
          <w:szCs w:val="22"/>
        </w:rPr>
      </w:pPr>
      <w:r w:rsidRPr="00CD6D50">
        <w:rPr>
          <w:rFonts w:eastAsia="Calibri"/>
          <w:color w:val="000000"/>
          <w:szCs w:val="22"/>
        </w:rPr>
        <w:t>întrucât:</w:t>
      </w:r>
    </w:p>
    <w:p w:rsidR="00CD6D50" w:rsidRPr="00CD6D50" w:rsidRDefault="00CD6D50" w:rsidP="00CD6D50">
      <w:pPr>
        <w:spacing w:before="120" w:after="120" w:line="360" w:lineRule="auto"/>
        <w:ind w:left="709" w:hanging="709"/>
        <w:rPr>
          <w:rFonts w:eastAsia="Calibri"/>
          <w:color w:val="000000"/>
          <w:szCs w:val="22"/>
        </w:rPr>
      </w:pPr>
      <w:r w:rsidRPr="00CD6D50">
        <w:rPr>
          <w:rFonts w:eastAsia="Calibri"/>
          <w:color w:val="000000"/>
          <w:szCs w:val="22"/>
        </w:rPr>
        <w:t>(1)</w:t>
      </w:r>
      <w:r w:rsidRPr="00CD6D50">
        <w:rPr>
          <w:rFonts w:eastAsia="Calibri"/>
          <w:color w:val="000000"/>
          <w:szCs w:val="22"/>
        </w:rPr>
        <w:tab/>
        <w:t>Decizia 2003/17/CE a Consiliului</w:t>
      </w:r>
      <w:r w:rsidRPr="00CD6D50">
        <w:rPr>
          <w:rFonts w:eastAsia="Calibri"/>
          <w:color w:val="000000"/>
          <w:szCs w:val="22"/>
          <w:vertAlign w:val="superscript"/>
        </w:rPr>
        <w:footnoteReference w:id="3"/>
      </w:r>
      <w:r w:rsidRPr="00CD6D50">
        <w:rPr>
          <w:rFonts w:eastAsia="Calibri"/>
          <w:color w:val="000000"/>
          <w:szCs w:val="22"/>
        </w:rPr>
        <w:t xml:space="preserve"> prevede că, în anumite condiții, inspecțiile în câmp efectuate asupra anumitor culturi producătoare de semințe în țările terțe enumerate în anexa I la decizia respectivă sunt considerate echivalente cu inspecțiile în câmp efectuate în conformitate cu dreptul Uniunii. Decizia prevede, de asemenea, că, în anumite condiții, semințele din anumite specii produse în țările terțe respective sunt considerate echivalente cu semințele produse în conformitate cu dreptul Uniunii.</w:t>
      </w:r>
    </w:p>
    <w:p w:rsidR="00CD6D50" w:rsidRPr="00CD6D50" w:rsidRDefault="00CD6D50" w:rsidP="00CD6D50">
      <w:pPr>
        <w:spacing w:before="120" w:after="120" w:line="360" w:lineRule="auto"/>
        <w:ind w:left="709" w:hanging="709"/>
        <w:rPr>
          <w:rFonts w:eastAsia="Calibri"/>
          <w:color w:val="000000"/>
          <w:szCs w:val="22"/>
        </w:rPr>
      </w:pPr>
      <w:r w:rsidRPr="00CD6D50">
        <w:rPr>
          <w:rFonts w:eastAsia="Calibri"/>
          <w:color w:val="000000"/>
          <w:szCs w:val="22"/>
        </w:rPr>
        <w:t>(2)</w:t>
      </w:r>
      <w:r w:rsidRPr="00CD6D50">
        <w:rPr>
          <w:rFonts w:eastAsia="Calibri"/>
          <w:color w:val="000000"/>
          <w:szCs w:val="22"/>
        </w:rPr>
        <w:tab/>
        <w:t xml:space="preserve">Echivalența a fost acordată țărilor terțe respective pe baza cadrului multilateral privind comerțul internațional cu semințe, respectiv sistemele pentru certificarea soiurilor de semințe destinate comerțului internațional ale Organizației pentru Cooperare și Dezvoltare Economică (OCDE) și metodele Asociației Internaționale pentru Testarea Semințelor (ISTA) sau, după caz, normele </w:t>
      </w:r>
      <w:r w:rsidRPr="00CD6D50">
        <w:rPr>
          <w:rFonts w:eastAsia="Calibri"/>
          <w:i/>
          <w:color w:val="000000"/>
          <w:szCs w:val="22"/>
        </w:rPr>
        <w:t>Association of Official Seed Analysts</w:t>
      </w:r>
      <w:r w:rsidRPr="00CD6D50">
        <w:rPr>
          <w:rFonts w:eastAsia="Calibri"/>
          <w:color w:val="000000"/>
          <w:szCs w:val="22"/>
        </w:rPr>
        <w:t xml:space="preserve"> (AOSA) care sunt echivalente cu normele ISTA. De asemenea, Comisia a efectuat evaluări legislative și audituri în unele dintre țările terțe respective pentru a verifica dacă îndeplinesc cerințele stabilite în dreptul Uniunii înainte de a acorda echivalența pentru prima dată. Testarea și raportarea anuală în cadrul OCDE, reauditarea periodică a laboratoarelor pentru acreditarea ISTA, precum și inspecțiile oficiale în contextul dreptului Uniunii indică faptul că inspecțiile în câmp efectuate în țările terțe respective continuă să ofere aceleași garanții ca inspecțiile în câmp efectuate de statele membre și că semințele produse și certificate în țările terțe respective continuă să ofere aceleași garanții ca semințele produse și certificate în statele membre. Prin urmare, inspecțiile în câmp și semințele respective ar trebui să fie considerate în continuare echivalente cu inspecțiile în câmp și semințele Uniunii.</w:t>
      </w:r>
    </w:p>
    <w:p w:rsidR="00CD6D50" w:rsidRPr="00CD6D50" w:rsidRDefault="00CD6D50" w:rsidP="00CD6D50">
      <w:pPr>
        <w:rPr>
          <w:rFonts w:eastAsia="Calibri"/>
          <w:color w:val="000000"/>
          <w:szCs w:val="22"/>
        </w:rPr>
      </w:pPr>
      <w:r w:rsidRPr="00CD6D50">
        <w:rPr>
          <w:rFonts w:eastAsia="Calibri"/>
          <w:color w:val="000000"/>
          <w:szCs w:val="22"/>
        </w:rPr>
        <w:br w:type="page"/>
      </w:r>
    </w:p>
    <w:p w:rsidR="00CD6D50" w:rsidRPr="00CD6D50" w:rsidRDefault="00CD6D50" w:rsidP="00CD6D50">
      <w:pPr>
        <w:spacing w:before="120" w:after="120" w:line="360" w:lineRule="auto"/>
        <w:ind w:left="709" w:hanging="709"/>
        <w:rPr>
          <w:rFonts w:eastAsia="Calibri"/>
          <w:color w:val="000000"/>
          <w:szCs w:val="22"/>
        </w:rPr>
      </w:pPr>
      <w:r w:rsidRPr="00CD6D50">
        <w:rPr>
          <w:rFonts w:eastAsia="Calibri"/>
          <w:color w:val="000000"/>
          <w:szCs w:val="22"/>
        </w:rPr>
        <w:t>(3)</w:t>
      </w:r>
      <w:r w:rsidRPr="00CD6D50">
        <w:rPr>
          <w:rFonts w:eastAsia="Calibri"/>
          <w:color w:val="000000"/>
          <w:szCs w:val="22"/>
        </w:rPr>
        <w:tab/>
        <w:t xml:space="preserve">În 2016, Bolivia a prezentat Comisiei o cerere de acordare a echivalenței pentru sistemul său de inspecții în câmp efectuate asupra culturilor producătoare de semințe și pentru semințele de </w:t>
      </w:r>
      <w:r w:rsidRPr="00CD6D50">
        <w:rPr>
          <w:rFonts w:eastAsia="Calibri"/>
          <w:i/>
          <w:color w:val="000000"/>
          <w:szCs w:val="22"/>
        </w:rPr>
        <w:t>Sorghum</w:t>
      </w:r>
      <w:r w:rsidRPr="00CD6D50">
        <w:rPr>
          <w:rFonts w:eastAsia="Calibri"/>
          <w:color w:val="000000"/>
          <w:szCs w:val="22"/>
        </w:rPr>
        <w:t xml:space="preserve"> spp. (sorg), de </w:t>
      </w:r>
      <w:r w:rsidRPr="00CD6D50">
        <w:rPr>
          <w:rFonts w:eastAsia="Calibri"/>
          <w:i/>
          <w:color w:val="000000"/>
          <w:szCs w:val="22"/>
        </w:rPr>
        <w:t>Zea mays</w:t>
      </w:r>
      <w:r w:rsidRPr="00CD6D50">
        <w:rPr>
          <w:rFonts w:eastAsia="Calibri"/>
          <w:color w:val="000000"/>
          <w:szCs w:val="22"/>
        </w:rPr>
        <w:t xml:space="preserve"> (porumb) și de </w:t>
      </w:r>
      <w:r w:rsidRPr="00CD6D50">
        <w:rPr>
          <w:rFonts w:eastAsia="Calibri"/>
          <w:i/>
          <w:color w:val="000000"/>
          <w:szCs w:val="22"/>
        </w:rPr>
        <w:t>Helianthus annuus</w:t>
      </w:r>
      <w:r w:rsidRPr="00CD6D50">
        <w:rPr>
          <w:rFonts w:eastAsia="Calibri"/>
          <w:color w:val="000000"/>
          <w:szCs w:val="22"/>
        </w:rPr>
        <w:t xml:space="preserve"> (floarea-soarelui) produse și certificate în Bolivia.</w:t>
      </w:r>
    </w:p>
    <w:p w:rsidR="00CD6D50" w:rsidRPr="00CD6D50" w:rsidRDefault="00CD6D50" w:rsidP="00CD6D50">
      <w:pPr>
        <w:spacing w:before="120" w:after="120" w:line="360" w:lineRule="auto"/>
        <w:ind w:left="709" w:hanging="709"/>
        <w:rPr>
          <w:rFonts w:eastAsia="Calibri"/>
          <w:color w:val="000000"/>
          <w:szCs w:val="22"/>
        </w:rPr>
      </w:pPr>
      <w:r w:rsidRPr="00CD6D50">
        <w:rPr>
          <w:rFonts w:eastAsia="Calibri"/>
          <w:color w:val="000000"/>
          <w:szCs w:val="22"/>
        </w:rPr>
        <w:t>(4)</w:t>
      </w:r>
      <w:r w:rsidRPr="00CD6D50">
        <w:rPr>
          <w:rFonts w:eastAsia="Calibri"/>
          <w:color w:val="000000"/>
          <w:szCs w:val="22"/>
        </w:rPr>
        <w:tab/>
        <w:t xml:space="preserve">Comisia a evaluat legislația relevantă a Boliviei, a efectuat un audit în 2018 referitor la sistemul de controale oficiale privind producția de semințe și certificarea semințelor de sorg, porumb și floarea-soarelui în Bolivia, precum și echivalența cu cerințele Uniunii, și a publicat constatările auditului într-un raport intitulat „Raport final al auditului efectuat în Statul Plurinațional al Boliviei în perioada 14 martie 2018-22 martie 2018 în vederea evaluării sistemului de controale oficiale și de certificare a semințelor și a echivalenței acestora cu cerințele Uniunii Europene”. </w:t>
      </w:r>
    </w:p>
    <w:p w:rsidR="00CD6D50" w:rsidRPr="00CD6D50" w:rsidRDefault="00CD6D50" w:rsidP="00CD6D50">
      <w:pPr>
        <w:spacing w:before="120" w:after="120" w:line="360" w:lineRule="auto"/>
        <w:ind w:left="709" w:hanging="709"/>
        <w:rPr>
          <w:rFonts w:eastAsia="Calibri"/>
          <w:color w:val="000000"/>
          <w:szCs w:val="22"/>
        </w:rPr>
      </w:pPr>
      <w:r w:rsidRPr="00CD6D50">
        <w:rPr>
          <w:rFonts w:eastAsia="Calibri"/>
          <w:color w:val="000000"/>
          <w:szCs w:val="22"/>
        </w:rPr>
        <w:t>(5)</w:t>
      </w:r>
      <w:r w:rsidRPr="00CD6D50">
        <w:rPr>
          <w:rFonts w:eastAsia="Calibri"/>
          <w:color w:val="000000"/>
          <w:szCs w:val="22"/>
        </w:rPr>
        <w:tab/>
        <w:t>Auditul a relevat existența unui sistem bine organizat de producție și de certificare a semințelor în Bolivia. Comisia a identificat unele deficiențe și a adresat recomandări Boliviei. Întrucât Bolivia a remediat deficiențele respective până la 30 noiembrie 2018, țara menționată îndeplinește condițiile prevăzute în anexa II la Decizia 2003/17/CE, precum și cerințele prevăzute de Directivele 66/402/CEE</w:t>
      </w:r>
      <w:r w:rsidRPr="00CD6D50">
        <w:rPr>
          <w:rFonts w:eastAsia="Calibri"/>
          <w:color w:val="000000"/>
          <w:szCs w:val="22"/>
          <w:vertAlign w:val="superscript"/>
        </w:rPr>
        <w:footnoteReference w:id="4"/>
      </w:r>
      <w:r w:rsidRPr="00CD6D50">
        <w:rPr>
          <w:rFonts w:eastAsia="Calibri"/>
          <w:color w:val="000000"/>
          <w:szCs w:val="22"/>
        </w:rPr>
        <w:t xml:space="preserve"> și 2002/57/CE</w:t>
      </w:r>
      <w:r w:rsidRPr="00CD6D50">
        <w:rPr>
          <w:rFonts w:eastAsia="Calibri"/>
          <w:color w:val="000000"/>
          <w:szCs w:val="22"/>
          <w:vertAlign w:val="superscript"/>
        </w:rPr>
        <w:footnoteReference w:id="5"/>
      </w:r>
      <w:r w:rsidRPr="00CD6D50">
        <w:rPr>
          <w:rFonts w:eastAsia="Calibri"/>
          <w:color w:val="000000"/>
          <w:szCs w:val="22"/>
        </w:rPr>
        <w:t xml:space="preserve"> ale Consiliului.</w:t>
      </w:r>
    </w:p>
    <w:p w:rsidR="00CD6D50" w:rsidRPr="00CD6D50" w:rsidRDefault="00CD6D50" w:rsidP="00CD6D50">
      <w:pPr>
        <w:rPr>
          <w:rFonts w:eastAsia="Calibri"/>
          <w:color w:val="000000"/>
          <w:szCs w:val="22"/>
        </w:rPr>
      </w:pPr>
      <w:r w:rsidRPr="00CD6D50">
        <w:rPr>
          <w:rFonts w:eastAsia="Calibri"/>
          <w:color w:val="000000"/>
          <w:szCs w:val="22"/>
        </w:rPr>
        <w:br w:type="page"/>
      </w:r>
    </w:p>
    <w:p w:rsidR="00CD6D50" w:rsidRPr="00CD6D50" w:rsidRDefault="00CD6D50" w:rsidP="00CD6D50">
      <w:pPr>
        <w:spacing w:before="120" w:after="120" w:line="360" w:lineRule="auto"/>
        <w:ind w:left="709" w:hanging="709"/>
        <w:rPr>
          <w:rFonts w:eastAsia="Calibri"/>
          <w:color w:val="000000"/>
          <w:szCs w:val="22"/>
        </w:rPr>
      </w:pPr>
      <w:r w:rsidRPr="00CD6D50">
        <w:rPr>
          <w:rFonts w:eastAsia="Calibri"/>
          <w:color w:val="000000"/>
          <w:szCs w:val="22"/>
        </w:rPr>
        <w:t>(6)</w:t>
      </w:r>
      <w:r w:rsidRPr="00CD6D50">
        <w:rPr>
          <w:rFonts w:eastAsia="Calibri"/>
          <w:color w:val="000000"/>
          <w:szCs w:val="22"/>
        </w:rPr>
        <w:tab/>
        <w:t>Prin urmare, este oportun să se acorde echivalență inspecțiilor în câmp efectuate asupra culturilor producătoare de semințe de sorg, de porumb și de floarea-soarelui din Bolivia și privind semințele de sorg, de porumb și de floarea-soarelui produse în Bolivia și certificate oficial de autoritățile sale.</w:t>
      </w:r>
    </w:p>
    <w:p w:rsidR="00CD6D50" w:rsidRPr="00CD6D50" w:rsidRDefault="00CD6D50" w:rsidP="00CD6D50">
      <w:pPr>
        <w:spacing w:before="120" w:after="120" w:line="360" w:lineRule="auto"/>
        <w:ind w:left="709" w:hanging="709"/>
        <w:rPr>
          <w:rFonts w:eastAsia="Calibri"/>
          <w:color w:val="000000"/>
          <w:szCs w:val="22"/>
        </w:rPr>
      </w:pPr>
      <w:r w:rsidRPr="00CD6D50">
        <w:rPr>
          <w:rFonts w:eastAsia="Calibri"/>
          <w:color w:val="000000"/>
          <w:szCs w:val="22"/>
        </w:rPr>
        <w:t>(7)</w:t>
      </w:r>
      <w:r w:rsidRPr="00CD6D50">
        <w:rPr>
          <w:rFonts w:eastAsia="Calibri"/>
          <w:color w:val="000000"/>
          <w:szCs w:val="22"/>
        </w:rPr>
        <w:tab/>
        <w:t>Întrucât Decizia 2003/17/CE va expira la 31 decembrie 2022, ar trebui prelungită perioada pentru care se recunoaște echivalența în temeiul deciziei respective, pentru a se evita orice risc de perturbare a importurilor de semințe în Uniune. Luând în considerare investițiile și timpul necesar pentru producția de semințe certificate în conformitate cu dreptul Uniunii, este oportun ca perioada respectivă să fie prelungită cu șapte ani.</w:t>
      </w:r>
    </w:p>
    <w:p w:rsidR="00CD6D50" w:rsidRPr="00CD6D50" w:rsidRDefault="00CD6D50" w:rsidP="00CD6D50">
      <w:pPr>
        <w:spacing w:before="120" w:after="120" w:line="360" w:lineRule="auto"/>
        <w:ind w:left="709" w:hanging="709"/>
        <w:rPr>
          <w:rFonts w:eastAsia="Calibri"/>
          <w:color w:val="000000"/>
          <w:szCs w:val="22"/>
        </w:rPr>
      </w:pPr>
      <w:r w:rsidRPr="00CD6D50">
        <w:rPr>
          <w:rFonts w:eastAsia="Calibri"/>
          <w:color w:val="000000"/>
          <w:szCs w:val="22"/>
        </w:rPr>
        <w:t>(8)</w:t>
      </w:r>
      <w:r w:rsidRPr="00CD6D50">
        <w:rPr>
          <w:rFonts w:eastAsia="Calibri"/>
          <w:color w:val="000000"/>
          <w:szCs w:val="22"/>
        </w:rPr>
        <w:tab/>
        <w:t>Prin urmare, Decizia 2003/17/CE ar trebui modificată în consecință,</w:t>
      </w:r>
    </w:p>
    <w:p w:rsidR="00CD6D50" w:rsidRPr="00CD6D50" w:rsidRDefault="00CD6D50" w:rsidP="00CD6D50">
      <w:pPr>
        <w:keepNext/>
        <w:spacing w:before="120" w:after="120" w:line="360" w:lineRule="auto"/>
        <w:rPr>
          <w:rFonts w:eastAsia="Calibri"/>
          <w:color w:val="000000"/>
          <w:szCs w:val="22"/>
        </w:rPr>
      </w:pPr>
      <w:r w:rsidRPr="00CD6D50">
        <w:rPr>
          <w:rFonts w:eastAsia="Calibri"/>
          <w:color w:val="000000"/>
          <w:szCs w:val="22"/>
        </w:rPr>
        <w:t>ADOPTĂ PREZENTA DECIZIE:</w:t>
      </w:r>
    </w:p>
    <w:p w:rsidR="00CD6D50" w:rsidRPr="00CD6D50" w:rsidRDefault="00CD6D50" w:rsidP="00CD6D50">
      <w:pPr>
        <w:rPr>
          <w:rFonts w:eastAsia="Calibri"/>
          <w:i/>
          <w:color w:val="000000"/>
          <w:szCs w:val="22"/>
        </w:rPr>
      </w:pPr>
      <w:r w:rsidRPr="00CD6D50">
        <w:rPr>
          <w:rFonts w:eastAsia="Calibri"/>
          <w:i/>
          <w:color w:val="000000"/>
          <w:szCs w:val="22"/>
        </w:rPr>
        <w:br w:type="page"/>
      </w:r>
    </w:p>
    <w:p w:rsidR="00CD6D50" w:rsidRPr="00CD6D50" w:rsidRDefault="00CD6D50" w:rsidP="00CD6D50">
      <w:pPr>
        <w:keepNext/>
        <w:spacing w:before="360" w:after="120" w:line="360" w:lineRule="auto"/>
        <w:jc w:val="center"/>
        <w:rPr>
          <w:rFonts w:eastAsia="Calibri"/>
          <w:color w:val="000000"/>
          <w:szCs w:val="22"/>
        </w:rPr>
      </w:pPr>
      <w:r w:rsidRPr="00CD6D50">
        <w:rPr>
          <w:rFonts w:eastAsia="Calibri"/>
          <w:color w:val="000000"/>
          <w:szCs w:val="22"/>
        </w:rPr>
        <w:t xml:space="preserve">Articolul 1 </w:t>
      </w:r>
      <w:r w:rsidRPr="00CD6D50">
        <w:rPr>
          <w:rFonts w:eastAsia="Calibri"/>
          <w:color w:val="000000"/>
          <w:szCs w:val="22"/>
        </w:rPr>
        <w:br/>
        <w:t>Modificarea Deciziei 2003/17/CE</w:t>
      </w:r>
    </w:p>
    <w:p w:rsidR="00CD6D50" w:rsidRPr="00CD6D50" w:rsidRDefault="00CD6D50" w:rsidP="00CD6D50">
      <w:pPr>
        <w:spacing w:before="120" w:after="120" w:line="360" w:lineRule="auto"/>
        <w:rPr>
          <w:rFonts w:eastAsia="Calibri"/>
          <w:color w:val="000000"/>
          <w:szCs w:val="22"/>
        </w:rPr>
      </w:pPr>
      <w:r w:rsidRPr="00CD6D50">
        <w:rPr>
          <w:rFonts w:eastAsia="Calibri"/>
          <w:color w:val="000000"/>
          <w:szCs w:val="22"/>
        </w:rPr>
        <w:t>Decizia 2003/17/CE se modifică după cum urmează:</w:t>
      </w:r>
    </w:p>
    <w:p w:rsidR="00CD6D50" w:rsidRPr="00CD6D50" w:rsidRDefault="00CD6D50" w:rsidP="00CD6D50">
      <w:pPr>
        <w:spacing w:before="120" w:after="120" w:line="360" w:lineRule="auto"/>
        <w:ind w:left="850" w:hanging="850"/>
        <w:rPr>
          <w:rFonts w:eastAsia="Calibri"/>
          <w:color w:val="000000"/>
          <w:szCs w:val="22"/>
        </w:rPr>
      </w:pPr>
      <w:r w:rsidRPr="00CD6D50">
        <w:rPr>
          <w:rFonts w:eastAsia="Calibri"/>
          <w:color w:val="000000"/>
          <w:szCs w:val="22"/>
        </w:rPr>
        <w:t>1.</w:t>
      </w:r>
      <w:r w:rsidRPr="00CD6D50">
        <w:rPr>
          <w:rFonts w:eastAsia="Calibri"/>
          <w:color w:val="000000"/>
          <w:szCs w:val="22"/>
        </w:rPr>
        <w:tab/>
        <w:t>La articolul 6, data „31 decembrie 2022” se înlocuiește cu data „31 decembrie 2029”.</w:t>
      </w:r>
    </w:p>
    <w:p w:rsidR="00CD6D50" w:rsidRPr="00CD6D50" w:rsidRDefault="00CD6D50" w:rsidP="00CD6D50">
      <w:pPr>
        <w:spacing w:before="120" w:after="120" w:line="360" w:lineRule="auto"/>
        <w:ind w:left="850" w:hanging="850"/>
        <w:rPr>
          <w:rFonts w:eastAsia="Calibri"/>
          <w:color w:val="000000"/>
          <w:szCs w:val="22"/>
        </w:rPr>
      </w:pPr>
      <w:r w:rsidRPr="00CD6D50">
        <w:rPr>
          <w:rFonts w:eastAsia="Calibri"/>
          <w:color w:val="000000"/>
          <w:szCs w:val="22"/>
        </w:rPr>
        <w:t>2.</w:t>
      </w:r>
      <w:r w:rsidRPr="00CD6D50">
        <w:rPr>
          <w:rFonts w:eastAsia="Calibri"/>
          <w:color w:val="000000"/>
          <w:szCs w:val="22"/>
        </w:rPr>
        <w:tab/>
        <w:t>Tabelul din anexa I se modifică după cum urmează:</w:t>
      </w:r>
    </w:p>
    <w:p w:rsidR="00CD6D50" w:rsidRPr="00CD6D50" w:rsidRDefault="00CD6D50" w:rsidP="00CD6D50">
      <w:pPr>
        <w:ind w:left="709"/>
        <w:rPr>
          <w:szCs w:val="20"/>
        </w:rPr>
      </w:pPr>
      <w:r w:rsidRPr="00CD6D50">
        <w:rPr>
          <w:rFonts w:eastAsia="Calibri"/>
          <w:color w:val="000000"/>
          <w:szCs w:val="22"/>
        </w:rPr>
        <w:tab/>
        <w:t>(a)</w:t>
      </w:r>
      <w:r w:rsidRPr="00CD6D50">
        <w:rPr>
          <w:rFonts w:eastAsia="Calibri"/>
          <w:color w:val="000000"/>
          <w:szCs w:val="22"/>
        </w:rPr>
        <w:tab/>
      </w:r>
      <w:r w:rsidRPr="00CD6D50">
        <w:rPr>
          <w:szCs w:val="20"/>
        </w:rPr>
        <w:t>între rândurile „AU” și „BR” se introduce un rând cu următorul text:</w:t>
      </w:r>
    </w:p>
    <w:p w:rsidR="00CD6D50" w:rsidRPr="00CD6D50" w:rsidRDefault="00CD6D50" w:rsidP="00CD6D50">
      <w:pPr>
        <w:rPr>
          <w:szCs w:val="20"/>
        </w:rPr>
      </w:pPr>
    </w:p>
    <w:tbl>
      <w:tblPr>
        <w:tblW w:w="0" w:type="auto"/>
        <w:tblInd w:w="95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465"/>
        <w:gridCol w:w="2526"/>
        <w:gridCol w:w="2120"/>
      </w:tblGrid>
      <w:tr w:rsidR="00CD6D50" w:rsidRPr="00CD6D50" w:rsidTr="007054B4">
        <w:tc>
          <w:tcPr>
            <w:tcW w:w="3510" w:type="dxa"/>
            <w:shd w:val="clear" w:color="auto" w:fill="auto"/>
          </w:tcPr>
          <w:p w:rsidR="00CD6D50" w:rsidRPr="00CD6D50" w:rsidRDefault="00CD6D50" w:rsidP="00CD6D50">
            <w:pPr>
              <w:rPr>
                <w:szCs w:val="20"/>
              </w:rPr>
            </w:pPr>
            <w:r w:rsidRPr="00CD6D50">
              <w:rPr>
                <w:szCs w:val="20"/>
              </w:rPr>
              <w:t>“BO</w:t>
            </w:r>
          </w:p>
        </w:tc>
        <w:tc>
          <w:tcPr>
            <w:tcW w:w="2529" w:type="dxa"/>
            <w:shd w:val="clear" w:color="auto" w:fill="auto"/>
          </w:tcPr>
          <w:p w:rsidR="00CD6D50" w:rsidRPr="00CD6D50" w:rsidRDefault="00CD6D50" w:rsidP="00CD6D50">
            <w:pPr>
              <w:widowControl/>
              <w:spacing w:before="120" w:after="120"/>
              <w:ind w:left="850" w:hanging="850"/>
              <w:jc w:val="both"/>
              <w:rPr>
                <w:rFonts w:eastAsiaTheme="minorHAnsi"/>
                <w:szCs w:val="22"/>
                <w:lang w:eastAsia="en-US"/>
              </w:rPr>
            </w:pPr>
            <w:r w:rsidRPr="00CD6D50">
              <w:rPr>
                <w:rFonts w:eastAsiaTheme="minorHAnsi"/>
                <w:szCs w:val="22"/>
                <w:lang w:eastAsia="en-US"/>
              </w:rPr>
              <w:t xml:space="preserve">Ministry of Rural Development and Land </w:t>
            </w:r>
            <w:r w:rsidRPr="00CD6D50">
              <w:rPr>
                <w:rFonts w:eastAsiaTheme="minorHAnsi"/>
                <w:szCs w:val="22"/>
                <w:lang w:eastAsia="en-US"/>
              </w:rPr>
              <w:br/>
              <w:t>Bolivia</w:t>
            </w:r>
          </w:p>
          <w:p w:rsidR="00CD6D50" w:rsidRPr="00CD6D50" w:rsidRDefault="00CD6D50" w:rsidP="00CD6D50">
            <w:pPr>
              <w:widowControl/>
              <w:spacing w:before="120" w:after="120"/>
              <w:ind w:left="850" w:hanging="850"/>
              <w:jc w:val="both"/>
              <w:rPr>
                <w:rFonts w:eastAsiaTheme="minorHAnsi"/>
                <w:szCs w:val="22"/>
                <w:lang w:eastAsia="en-US"/>
              </w:rPr>
            </w:pPr>
            <w:r w:rsidRPr="00CD6D50">
              <w:rPr>
                <w:rFonts w:eastAsiaTheme="minorHAnsi"/>
                <w:szCs w:val="22"/>
                <w:lang w:eastAsia="en-US"/>
              </w:rPr>
              <w:t>Av. Camacho entre calles Loaya y Bueno N°1471, LA PAZ</w:t>
            </w:r>
          </w:p>
        </w:tc>
        <w:tc>
          <w:tcPr>
            <w:tcW w:w="1751" w:type="dxa"/>
          </w:tcPr>
          <w:p w:rsidR="00CD6D50" w:rsidRPr="00CD6D50" w:rsidRDefault="00CD6D50" w:rsidP="00CD6D50">
            <w:pPr>
              <w:widowControl/>
              <w:spacing w:before="120" w:after="120"/>
              <w:ind w:left="850" w:hanging="850"/>
              <w:jc w:val="both"/>
              <w:rPr>
                <w:rFonts w:eastAsiaTheme="minorHAnsi"/>
                <w:szCs w:val="22"/>
                <w:lang w:eastAsia="en-US"/>
              </w:rPr>
            </w:pPr>
            <w:r w:rsidRPr="00CD6D50">
              <w:rPr>
                <w:rFonts w:eastAsiaTheme="minorHAnsi"/>
                <w:szCs w:val="22"/>
                <w:lang w:eastAsia="en-US"/>
              </w:rPr>
              <w:t xml:space="preserve">66/402/CEE – doar cu privire la </w:t>
            </w:r>
            <w:r w:rsidRPr="00CD6D50">
              <w:rPr>
                <w:rFonts w:eastAsiaTheme="minorHAnsi"/>
                <w:i/>
                <w:iCs/>
                <w:szCs w:val="22"/>
                <w:lang w:eastAsia="en-US"/>
              </w:rPr>
              <w:t>Zea mays</w:t>
            </w:r>
            <w:r w:rsidRPr="00CD6D50">
              <w:rPr>
                <w:rFonts w:eastAsiaTheme="minorHAnsi"/>
                <w:szCs w:val="22"/>
                <w:lang w:eastAsia="en-US"/>
              </w:rPr>
              <w:t xml:space="preserve"> și </w:t>
            </w:r>
            <w:r w:rsidRPr="00CD6D50">
              <w:rPr>
                <w:rFonts w:eastAsiaTheme="minorHAnsi"/>
                <w:i/>
                <w:iCs/>
                <w:szCs w:val="22"/>
                <w:lang w:eastAsia="en-US"/>
              </w:rPr>
              <w:t>Sorghum</w:t>
            </w:r>
            <w:r w:rsidRPr="00CD6D50">
              <w:rPr>
                <w:rFonts w:eastAsiaTheme="minorHAnsi"/>
                <w:szCs w:val="22"/>
                <w:lang w:eastAsia="en-US"/>
              </w:rPr>
              <w:t xml:space="preserve"> spp.;</w:t>
            </w:r>
          </w:p>
          <w:p w:rsidR="00CD6D50" w:rsidRPr="00CD6D50" w:rsidRDefault="00CD6D50" w:rsidP="00CD6D50">
            <w:pPr>
              <w:widowControl/>
              <w:spacing w:before="120" w:after="120"/>
              <w:ind w:left="850" w:hanging="850"/>
              <w:jc w:val="both"/>
              <w:rPr>
                <w:rFonts w:eastAsiaTheme="minorHAnsi"/>
                <w:szCs w:val="22"/>
                <w:lang w:eastAsia="en-US"/>
              </w:rPr>
            </w:pPr>
            <w:r w:rsidRPr="00CD6D50">
              <w:rPr>
                <w:rFonts w:eastAsiaTheme="minorHAnsi"/>
                <w:szCs w:val="22"/>
                <w:lang w:eastAsia="en-US"/>
              </w:rPr>
              <w:t xml:space="preserve">2002/57/CE – doar cu privire la </w:t>
            </w:r>
            <w:r w:rsidRPr="00CD6D50">
              <w:rPr>
                <w:rFonts w:eastAsiaTheme="minorHAnsi"/>
                <w:i/>
                <w:iCs/>
                <w:szCs w:val="22"/>
                <w:lang w:eastAsia="en-US"/>
              </w:rPr>
              <w:t>Helianthus annuus</w:t>
            </w:r>
            <w:r w:rsidRPr="00CD6D50">
              <w:rPr>
                <w:rFonts w:eastAsiaTheme="minorHAnsi"/>
                <w:iCs/>
                <w:szCs w:val="22"/>
                <w:lang w:eastAsia="en-US"/>
              </w:rPr>
              <w:t>”;</w:t>
            </w:r>
          </w:p>
          <w:p w:rsidR="00CD6D50" w:rsidRPr="00CD6D50" w:rsidRDefault="00CD6D50" w:rsidP="00CD6D50">
            <w:pPr>
              <w:rPr>
                <w:szCs w:val="20"/>
              </w:rPr>
            </w:pPr>
          </w:p>
        </w:tc>
      </w:tr>
    </w:tbl>
    <w:p w:rsidR="00CD6D50" w:rsidRPr="00CD6D50" w:rsidRDefault="00CD6D50" w:rsidP="00CD6D50">
      <w:pPr>
        <w:widowControl/>
        <w:spacing w:before="120" w:after="120" w:line="360" w:lineRule="auto"/>
        <w:ind w:left="1418" w:hanging="698"/>
        <w:rPr>
          <w:szCs w:val="20"/>
        </w:rPr>
      </w:pPr>
      <w:r w:rsidRPr="00CD6D50">
        <w:t>(b)</w:t>
      </w:r>
      <w:r w:rsidRPr="00CD6D50">
        <w:tab/>
        <w:t>la nota de subsol (</w:t>
      </w:r>
      <w:r w:rsidRPr="00CD6D50">
        <w:rPr>
          <w:vertAlign w:val="superscript"/>
        </w:rPr>
        <w:t>1</w:t>
      </w:r>
      <w:r w:rsidRPr="00CD6D50">
        <w:t>), între „AU - Australia,” și „BR - Brazil,”</w:t>
      </w:r>
      <w:r w:rsidRPr="00CD6D50">
        <w:rPr>
          <w:szCs w:val="20"/>
        </w:rPr>
        <w:t xml:space="preserve"> </w:t>
      </w:r>
      <w:r w:rsidRPr="00CD6D50">
        <w:t>se introduc următoarele cuvinte:</w:t>
      </w:r>
    </w:p>
    <w:p w:rsidR="00CD6D50" w:rsidRPr="00CD6D50" w:rsidRDefault="00CD6D50" w:rsidP="00CD6D50">
      <w:pPr>
        <w:ind w:left="720" w:firstLine="720"/>
        <w:jc w:val="both"/>
        <w:rPr>
          <w:rFonts w:eastAsia="Calibri"/>
          <w:color w:val="000000"/>
          <w:szCs w:val="22"/>
        </w:rPr>
      </w:pPr>
      <w:r w:rsidRPr="00CD6D50">
        <w:rPr>
          <w:szCs w:val="20"/>
        </w:rPr>
        <w:t>„BO – Bolivia,”.</w:t>
      </w:r>
    </w:p>
    <w:p w:rsidR="00CD6D50" w:rsidRPr="00CD6D50" w:rsidRDefault="00CD6D50" w:rsidP="00CD6D50">
      <w:pPr>
        <w:keepNext/>
        <w:spacing w:before="360" w:after="120" w:line="360" w:lineRule="auto"/>
        <w:jc w:val="center"/>
        <w:rPr>
          <w:rFonts w:eastAsia="Calibri"/>
          <w:color w:val="000000"/>
          <w:szCs w:val="22"/>
        </w:rPr>
      </w:pPr>
      <w:r w:rsidRPr="00CD6D50">
        <w:rPr>
          <w:rFonts w:eastAsia="Calibri"/>
          <w:color w:val="000000"/>
          <w:szCs w:val="22"/>
        </w:rPr>
        <w:t xml:space="preserve">Articolul 2 </w:t>
      </w:r>
      <w:r w:rsidRPr="00CD6D50">
        <w:rPr>
          <w:rFonts w:eastAsia="Calibri"/>
          <w:color w:val="000000"/>
          <w:szCs w:val="22"/>
        </w:rPr>
        <w:br/>
        <w:t>Intrare în vigoare</w:t>
      </w:r>
    </w:p>
    <w:p w:rsidR="00CD6D50" w:rsidRPr="00CD6D50" w:rsidRDefault="00CD6D50" w:rsidP="00CD6D50">
      <w:pPr>
        <w:spacing w:before="120" w:after="120" w:line="360" w:lineRule="auto"/>
        <w:rPr>
          <w:rFonts w:eastAsia="Calibri"/>
          <w:color w:val="000000"/>
          <w:szCs w:val="22"/>
        </w:rPr>
      </w:pPr>
      <w:r w:rsidRPr="00CD6D50">
        <w:rPr>
          <w:rFonts w:eastAsia="Calibri"/>
          <w:color w:val="000000"/>
          <w:szCs w:val="22"/>
        </w:rPr>
        <w:t xml:space="preserve">Prezenta decizie intră în vigoare în a douăzecea zi de la data publicării în </w:t>
      </w:r>
      <w:r w:rsidRPr="00CD6D50">
        <w:rPr>
          <w:rFonts w:eastAsia="Calibri"/>
          <w:i/>
          <w:color w:val="000000"/>
          <w:szCs w:val="22"/>
        </w:rPr>
        <w:t>Jurnalul Oficial al Uniunii Europene</w:t>
      </w:r>
      <w:r w:rsidRPr="00CD6D50">
        <w:rPr>
          <w:rFonts w:eastAsia="Calibri"/>
          <w:color w:val="000000"/>
          <w:szCs w:val="22"/>
        </w:rPr>
        <w:t>.</w:t>
      </w:r>
    </w:p>
    <w:p w:rsidR="00CD6D50" w:rsidRPr="00CD6D50" w:rsidRDefault="00CD6D50" w:rsidP="00CD6D50">
      <w:pPr>
        <w:rPr>
          <w:rFonts w:eastAsia="Calibri"/>
          <w:color w:val="000000"/>
          <w:szCs w:val="22"/>
        </w:rPr>
      </w:pPr>
      <w:r w:rsidRPr="00CD6D50">
        <w:rPr>
          <w:rFonts w:eastAsia="Calibri"/>
          <w:color w:val="000000"/>
          <w:szCs w:val="22"/>
        </w:rPr>
        <w:br w:type="page"/>
      </w:r>
    </w:p>
    <w:p w:rsidR="00CD6D50" w:rsidRPr="00CD6D50" w:rsidRDefault="00CD6D50" w:rsidP="00CD6D50">
      <w:pPr>
        <w:keepNext/>
        <w:spacing w:before="360" w:after="120" w:line="360" w:lineRule="auto"/>
        <w:jc w:val="center"/>
        <w:rPr>
          <w:rFonts w:eastAsia="Calibri"/>
          <w:color w:val="000000"/>
          <w:szCs w:val="22"/>
        </w:rPr>
      </w:pPr>
      <w:r w:rsidRPr="00CD6D50">
        <w:rPr>
          <w:rFonts w:eastAsia="Calibri"/>
          <w:color w:val="000000"/>
          <w:szCs w:val="22"/>
        </w:rPr>
        <w:t xml:space="preserve">Articolul 3 </w:t>
      </w:r>
      <w:r w:rsidRPr="00CD6D50">
        <w:rPr>
          <w:rFonts w:eastAsia="Calibri"/>
          <w:color w:val="000000"/>
          <w:szCs w:val="22"/>
        </w:rPr>
        <w:br/>
        <w:t>Destinatari</w:t>
      </w:r>
    </w:p>
    <w:p w:rsidR="00CD6D50" w:rsidRPr="00CD6D50" w:rsidRDefault="00CD6D50" w:rsidP="00CD6D50">
      <w:pPr>
        <w:spacing w:before="120" w:after="120" w:line="360" w:lineRule="auto"/>
        <w:rPr>
          <w:rFonts w:eastAsia="Calibri"/>
          <w:color w:val="000000"/>
          <w:szCs w:val="22"/>
        </w:rPr>
      </w:pPr>
      <w:r w:rsidRPr="00CD6D50">
        <w:rPr>
          <w:rFonts w:eastAsia="Calibri"/>
          <w:color w:val="000000"/>
          <w:szCs w:val="22"/>
        </w:rPr>
        <w:t>Prezenta decizie se adresează statelor membre.</w:t>
      </w:r>
    </w:p>
    <w:p w:rsidR="00CD6D50" w:rsidRPr="00CD6D50" w:rsidRDefault="00CD6D50" w:rsidP="00CD6D50">
      <w:pPr>
        <w:keepNext/>
        <w:spacing w:before="120" w:line="360" w:lineRule="auto"/>
        <w:rPr>
          <w:rFonts w:eastAsia="Calibri"/>
          <w:color w:val="000000"/>
          <w:szCs w:val="22"/>
        </w:rPr>
      </w:pPr>
      <w:r w:rsidRPr="00CD6D50">
        <w:rPr>
          <w:rFonts w:eastAsia="Calibri"/>
          <w:color w:val="000000"/>
          <w:szCs w:val="22"/>
        </w:rPr>
        <w:t>Adoptată la ...,</w:t>
      </w:r>
    </w:p>
    <w:p w:rsidR="00CD6D50" w:rsidRPr="00CD6D50" w:rsidRDefault="00CD6D50" w:rsidP="00CD6D50">
      <w:pPr>
        <w:keepNext/>
        <w:tabs>
          <w:tab w:val="left" w:pos="4252"/>
        </w:tabs>
        <w:spacing w:before="720" w:line="360" w:lineRule="auto"/>
        <w:rPr>
          <w:rFonts w:eastAsia="Calibri"/>
          <w:i/>
          <w:color w:val="000000"/>
          <w:szCs w:val="22"/>
        </w:rPr>
      </w:pPr>
      <w:r w:rsidRPr="00CD6D50">
        <w:rPr>
          <w:rFonts w:eastAsia="Calibri"/>
          <w:i/>
          <w:color w:val="000000"/>
          <w:szCs w:val="22"/>
        </w:rPr>
        <w:t>Pentru Parlamentul European</w:t>
      </w:r>
      <w:r w:rsidRPr="00CD6D50">
        <w:rPr>
          <w:rFonts w:eastAsia="Calibri"/>
          <w:i/>
          <w:color w:val="000000"/>
          <w:szCs w:val="22"/>
        </w:rPr>
        <w:tab/>
        <w:t>Pentru Consiliu</w:t>
      </w:r>
    </w:p>
    <w:p w:rsidR="00CD6D50" w:rsidRPr="00CD6D50" w:rsidRDefault="00CD6D50" w:rsidP="00CD6D50">
      <w:pPr>
        <w:tabs>
          <w:tab w:val="left" w:pos="4252"/>
        </w:tabs>
        <w:spacing w:line="360" w:lineRule="auto"/>
        <w:rPr>
          <w:szCs w:val="20"/>
        </w:rPr>
      </w:pPr>
      <w:r w:rsidRPr="00CD6D50">
        <w:rPr>
          <w:rFonts w:eastAsia="Calibri"/>
          <w:i/>
          <w:color w:val="000000"/>
          <w:szCs w:val="22"/>
        </w:rPr>
        <w:t>Președinta</w:t>
      </w:r>
      <w:r w:rsidRPr="00CD6D50">
        <w:rPr>
          <w:rFonts w:eastAsia="Calibri"/>
          <w:i/>
          <w:color w:val="000000"/>
          <w:szCs w:val="22"/>
        </w:rPr>
        <w:tab/>
        <w:t>Președintele</w:t>
      </w:r>
    </w:p>
    <w:p w:rsidR="000F2FE2" w:rsidRPr="00CD6D50" w:rsidRDefault="000F2FE2" w:rsidP="008D715A"/>
    <w:sectPr w:rsidR="000F2FE2" w:rsidRPr="00CD6D50" w:rsidSect="009844B0">
      <w:footerReference w:type="first" r:id="rId14"/>
      <w:footnotePr>
        <w:numRestart w:val="eachPage"/>
      </w:footnotePr>
      <w:pgSz w:w="11906" w:h="16838" w:code="9"/>
      <w:pgMar w:top="1134" w:right="1418" w:bottom="1418" w:left="1418" w:header="1134" w:footer="567"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7A5" w:rsidRPr="00CD6D50" w:rsidRDefault="00CE77A5">
      <w:r w:rsidRPr="00CD6D50">
        <w:separator/>
      </w:r>
    </w:p>
    <w:p w:rsidR="00CE77A5" w:rsidRPr="00CD6D50" w:rsidRDefault="00CE77A5"/>
  </w:endnote>
  <w:endnote w:type="continuationSeparator" w:id="0">
    <w:p w:rsidR="00CE77A5" w:rsidRPr="00CD6D50" w:rsidRDefault="00CE77A5">
      <w:r w:rsidRPr="00CD6D50">
        <w:continuationSeparator/>
      </w:r>
    </w:p>
    <w:p w:rsidR="00CE77A5" w:rsidRPr="00CD6D50" w:rsidRDefault="00CE77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D50" w:rsidRDefault="00CD6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B14" w:rsidRPr="00CD6D50" w:rsidRDefault="00CD6D50" w:rsidP="00CD6D50">
    <w:pPr>
      <w:pStyle w:val="Footer"/>
      <w:jc w:val="center"/>
    </w:pPr>
    <w:r>
      <w:fldChar w:fldCharType="begin"/>
    </w:r>
    <w:r>
      <w:instrText xml:space="preserve"> PAGE  \* ArabicDash  \* MERGEFORMAT </w:instrText>
    </w:r>
    <w:r>
      <w:fldChar w:fldCharType="separate"/>
    </w:r>
    <w:r>
      <w:rPr>
        <w:noProof/>
      </w:rPr>
      <w:t>- 6 -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6C" w:rsidRPr="00CD6D50" w:rsidRDefault="00A3406C" w:rsidP="002E0D12">
    <w:pPr>
      <w:pStyle w:val="EPFooter"/>
    </w:pPr>
    <w:r w:rsidRPr="00CD6D50">
      <w:tab/>
    </w:r>
    <w:r w:rsidRPr="00CD6D50">
      <w:tab/>
    </w:r>
    <w:r w:rsidR="00EE2E3E" w:rsidRPr="00CD6D50">
      <w:t>PE</w:t>
    </w:r>
    <w:r w:rsidR="00CD6D50" w:rsidRPr="00CD6D50">
      <w:t>695.884v01-00</w:t>
    </w:r>
  </w:p>
  <w:p w:rsidR="00AA1411" w:rsidRPr="00CD6D50" w:rsidRDefault="00CD6D50" w:rsidP="00342886">
    <w:pPr>
      <w:pStyle w:val="EPFooter2"/>
      <w:tabs>
        <w:tab w:val="clear" w:pos="4535"/>
        <w:tab w:val="center" w:pos="4536"/>
      </w:tabs>
      <w:ind w:left="-840"/>
    </w:pPr>
    <w:r w:rsidRPr="00CD6D50">
      <w:fldChar w:fldCharType="begin"/>
    </w:r>
    <w:r w:rsidRPr="00CD6D50">
      <w:instrText xml:space="preserve"> DOCPROPERTY "&lt;Extension&gt;" </w:instrText>
    </w:r>
    <w:r w:rsidRPr="00CD6D50">
      <w:fldChar w:fldCharType="separate"/>
    </w:r>
    <w:r>
      <w:t>RO</w:t>
    </w:r>
    <w:r w:rsidRPr="00CD6D50">
      <w:fldChar w:fldCharType="end"/>
    </w:r>
    <w:r w:rsidR="00AA1411" w:rsidRPr="00CD6D50">
      <w:tab/>
    </w:r>
    <w:r w:rsidRPr="00CD6D50">
      <w:rPr>
        <w:b w:val="0"/>
        <w:i/>
        <w:color w:val="C0C0C0"/>
        <w:sz w:val="22"/>
        <w:szCs w:val="22"/>
      </w:rPr>
      <w:t>Unită în diversitate</w:t>
    </w:r>
    <w:r w:rsidR="00AA1411" w:rsidRPr="00CD6D50">
      <w:tab/>
    </w:r>
    <w:r w:rsidRPr="00CD6D50">
      <w:fldChar w:fldCharType="begin"/>
    </w:r>
    <w:r w:rsidRPr="00CD6D50">
      <w:instrText xml:space="preserve"> DOCPROPERTY "&lt;Extension&gt;" </w:instrText>
    </w:r>
    <w:r w:rsidRPr="00CD6D50">
      <w:fldChar w:fldCharType="separate"/>
    </w:r>
    <w:r>
      <w:t>RO</w:t>
    </w:r>
    <w:r w:rsidRPr="00CD6D50">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4B0" w:rsidRPr="00CD6D50" w:rsidRDefault="009844B0" w:rsidP="002E0D12">
    <w:pPr>
      <w:pStyle w:val="EPFooter"/>
    </w:pPr>
    <w:r w:rsidRPr="00CD6D50">
      <w:tab/>
    </w:r>
    <w:r w:rsidRPr="00CD6D50">
      <w:tab/>
    </w:r>
    <w:r w:rsidR="00EE2E3E" w:rsidRPr="00CD6D50">
      <w:t>PE</w:t>
    </w:r>
    <w:r w:rsidR="00CD6D50" w:rsidRPr="00CD6D50">
      <w:t>695.884v01-00</w:t>
    </w:r>
  </w:p>
  <w:p w:rsidR="009844B0" w:rsidRPr="00CD6D50" w:rsidRDefault="00494D50" w:rsidP="00342886">
    <w:pPr>
      <w:pStyle w:val="EPFooter2"/>
      <w:tabs>
        <w:tab w:val="clear" w:pos="4535"/>
        <w:tab w:val="center" w:pos="4536"/>
      </w:tabs>
      <w:ind w:left="-840"/>
    </w:pPr>
    <w:r w:rsidRPr="00CD6D50">
      <w:fldChar w:fldCharType="begin"/>
    </w:r>
    <w:r w:rsidRPr="00CD6D50">
      <w:instrText xml:space="preserve"> DOCPROPERTY "&lt;Extension&gt;" </w:instrText>
    </w:r>
    <w:r w:rsidRPr="00CD6D50">
      <w:fldChar w:fldCharType="separate"/>
    </w:r>
    <w:r w:rsidR="00CD6D50" w:rsidRPr="00CD6D50">
      <w:t>RO</w:t>
    </w:r>
    <w:r w:rsidRPr="00CD6D50">
      <w:fldChar w:fldCharType="end"/>
    </w:r>
    <w:r w:rsidR="009844B0" w:rsidRPr="00CD6D50">
      <w:tab/>
    </w:r>
    <w:r w:rsidR="00CD6D50" w:rsidRPr="00CD6D50">
      <w:rPr>
        <w:b w:val="0"/>
        <w:i/>
        <w:color w:val="C0C0C0"/>
        <w:sz w:val="22"/>
        <w:szCs w:val="22"/>
      </w:rPr>
      <w:t>Unită în diversitate</w:t>
    </w:r>
    <w:r w:rsidR="009844B0" w:rsidRPr="00CD6D50">
      <w:tab/>
    </w:r>
    <w:r w:rsidRPr="00CD6D50">
      <w:fldChar w:fldCharType="begin"/>
    </w:r>
    <w:r w:rsidRPr="00CD6D50">
      <w:instrText xml:space="preserve"> DOCPROPERTY "&lt;Extension&gt;" </w:instrText>
    </w:r>
    <w:r w:rsidRPr="00CD6D50">
      <w:fldChar w:fldCharType="separate"/>
    </w:r>
    <w:r w:rsidR="00CD6D50" w:rsidRPr="00CD6D50">
      <w:t>RO</w:t>
    </w:r>
    <w:r w:rsidRPr="00CD6D5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7A5" w:rsidRPr="00CD6D50" w:rsidRDefault="00CE77A5">
      <w:r w:rsidRPr="00CD6D50">
        <w:separator/>
      </w:r>
    </w:p>
    <w:p w:rsidR="00CE77A5" w:rsidRPr="00CD6D50" w:rsidRDefault="00CE77A5"/>
  </w:footnote>
  <w:footnote w:type="continuationSeparator" w:id="0">
    <w:p w:rsidR="00CE77A5" w:rsidRPr="00CD6D50" w:rsidRDefault="00CE77A5">
      <w:r w:rsidRPr="00CD6D50">
        <w:continuationSeparator/>
      </w:r>
    </w:p>
    <w:p w:rsidR="00CE77A5" w:rsidRPr="00CD6D50" w:rsidRDefault="00CE77A5"/>
  </w:footnote>
  <w:footnote w:id="1">
    <w:p w:rsidR="00CD6D50" w:rsidRPr="00CD6D50" w:rsidRDefault="00CD6D50" w:rsidP="00CD6D50">
      <w:pPr>
        <w:pStyle w:val="FootnoteText"/>
        <w:ind w:left="567" w:hanging="567"/>
        <w:rPr>
          <w:color w:val="000000"/>
          <w:sz w:val="24"/>
          <w:szCs w:val="24"/>
        </w:rPr>
      </w:pPr>
      <w:r w:rsidRPr="00CD6D50">
        <w:rPr>
          <w:rStyle w:val="FootnoteReference"/>
          <w:color w:val="000000"/>
          <w:sz w:val="24"/>
          <w:szCs w:val="24"/>
        </w:rPr>
        <w:footnoteRef/>
      </w:r>
      <w:r w:rsidRPr="00CD6D50">
        <w:rPr>
          <w:color w:val="000000"/>
          <w:sz w:val="24"/>
          <w:szCs w:val="24"/>
        </w:rPr>
        <w:t xml:space="preserve"> </w:t>
      </w:r>
      <w:r w:rsidRPr="00CD6D50">
        <w:rPr>
          <w:color w:val="000000"/>
          <w:sz w:val="24"/>
          <w:szCs w:val="24"/>
        </w:rPr>
        <w:tab/>
      </w:r>
      <w:r w:rsidRPr="00CD6D50">
        <w:rPr>
          <w:color w:val="000000"/>
          <w:sz w:val="24"/>
          <w:szCs w:val="24"/>
        </w:rPr>
        <w:t>Avizul din 23 martie 2022 (nepublicat încă în Jurnalul Oficial).</w:t>
      </w:r>
    </w:p>
  </w:footnote>
  <w:footnote w:id="2">
    <w:p w:rsidR="00CD6D50" w:rsidRPr="00CD6D50" w:rsidRDefault="00CD6D50" w:rsidP="00CD6D50">
      <w:pPr>
        <w:pStyle w:val="FootnoteText"/>
        <w:ind w:left="567" w:hanging="567"/>
        <w:rPr>
          <w:sz w:val="24"/>
          <w:szCs w:val="24"/>
        </w:rPr>
      </w:pPr>
      <w:r w:rsidRPr="00CD6D50">
        <w:rPr>
          <w:rStyle w:val="FootnoteReference"/>
          <w:sz w:val="24"/>
          <w:szCs w:val="24"/>
        </w:rPr>
        <w:footnoteRef/>
      </w:r>
      <w:r w:rsidRPr="00CD6D50">
        <w:rPr>
          <w:sz w:val="24"/>
          <w:szCs w:val="24"/>
        </w:rPr>
        <w:t xml:space="preserve"> </w:t>
      </w:r>
      <w:r w:rsidRPr="00CD6D50">
        <w:rPr>
          <w:sz w:val="24"/>
          <w:szCs w:val="24"/>
        </w:rPr>
        <w:tab/>
      </w:r>
      <w:r w:rsidRPr="00CD6D50">
        <w:rPr>
          <w:sz w:val="24"/>
          <w:szCs w:val="24"/>
        </w:rPr>
        <w:t>Poziția Parlamentului European din 5 aprilie 2022.</w:t>
      </w:r>
    </w:p>
  </w:footnote>
  <w:footnote w:id="3">
    <w:p w:rsidR="00CD6D50" w:rsidRPr="00CD6D50" w:rsidRDefault="00CD6D50" w:rsidP="00CD6D50">
      <w:pPr>
        <w:pStyle w:val="FootnoteText"/>
        <w:ind w:left="567" w:hanging="567"/>
        <w:rPr>
          <w:color w:val="000000"/>
          <w:sz w:val="24"/>
          <w:szCs w:val="24"/>
        </w:rPr>
      </w:pPr>
      <w:r w:rsidRPr="00CD6D50">
        <w:rPr>
          <w:rStyle w:val="FootnoteReference"/>
          <w:color w:val="000000"/>
          <w:sz w:val="24"/>
          <w:szCs w:val="24"/>
        </w:rPr>
        <w:footnoteRef/>
      </w:r>
      <w:r w:rsidRPr="00CD6D50">
        <w:rPr>
          <w:color w:val="000000"/>
          <w:sz w:val="24"/>
          <w:szCs w:val="24"/>
        </w:rPr>
        <w:t xml:space="preserve"> </w:t>
      </w:r>
      <w:r w:rsidRPr="00CD6D50">
        <w:rPr>
          <w:color w:val="000000"/>
          <w:sz w:val="24"/>
          <w:szCs w:val="24"/>
        </w:rPr>
        <w:tab/>
      </w:r>
      <w:r w:rsidRPr="00CD6D50">
        <w:rPr>
          <w:color w:val="000000"/>
          <w:sz w:val="24"/>
          <w:szCs w:val="24"/>
        </w:rPr>
        <w:t>Decizia 2003/17/CE a Consiliului din 16 decembrie 2002 privind echivalența inspecțiilor în câmp la culturile producătoare de semințe, efectuate în țări terțe și echivalența semințelor produse în țări terțe (JO L 8, 14.1.2003, p. 10).</w:t>
      </w:r>
    </w:p>
  </w:footnote>
  <w:footnote w:id="4">
    <w:p w:rsidR="00CD6D50" w:rsidRPr="00CD6D50" w:rsidRDefault="00CD6D50" w:rsidP="00CD6D50">
      <w:pPr>
        <w:pStyle w:val="FootnoteText"/>
        <w:ind w:left="567" w:hanging="567"/>
        <w:rPr>
          <w:color w:val="000000"/>
          <w:sz w:val="24"/>
          <w:szCs w:val="24"/>
        </w:rPr>
      </w:pPr>
      <w:r w:rsidRPr="00CD6D50">
        <w:rPr>
          <w:rStyle w:val="FootnoteReference"/>
          <w:color w:val="000000"/>
          <w:sz w:val="24"/>
          <w:szCs w:val="24"/>
        </w:rPr>
        <w:footnoteRef/>
      </w:r>
      <w:r w:rsidRPr="00CD6D50">
        <w:rPr>
          <w:color w:val="000000"/>
          <w:sz w:val="24"/>
          <w:szCs w:val="24"/>
        </w:rPr>
        <w:t xml:space="preserve"> </w:t>
      </w:r>
      <w:r w:rsidRPr="00CD6D50">
        <w:rPr>
          <w:color w:val="000000"/>
          <w:sz w:val="24"/>
          <w:szCs w:val="24"/>
        </w:rPr>
        <w:tab/>
      </w:r>
      <w:r w:rsidRPr="00CD6D50">
        <w:rPr>
          <w:color w:val="000000"/>
          <w:sz w:val="24"/>
          <w:szCs w:val="24"/>
        </w:rPr>
        <w:t>Directiva 66/402/CEE a Consiliului din 14 iunie 1966 privind comercializarea semințelor de cereale (JO P 125, 11.7.1966, p. 2309).</w:t>
      </w:r>
    </w:p>
  </w:footnote>
  <w:footnote w:id="5">
    <w:p w:rsidR="00CD6D50" w:rsidRPr="00CD6D50" w:rsidRDefault="00CD6D50" w:rsidP="00CD6D50">
      <w:pPr>
        <w:pStyle w:val="FootnoteText"/>
        <w:ind w:left="567" w:hanging="567"/>
        <w:rPr>
          <w:color w:val="000000"/>
          <w:sz w:val="24"/>
          <w:szCs w:val="24"/>
        </w:rPr>
      </w:pPr>
      <w:r w:rsidRPr="00CD6D50">
        <w:rPr>
          <w:rStyle w:val="FootnoteReference"/>
          <w:color w:val="000000"/>
          <w:sz w:val="24"/>
          <w:szCs w:val="24"/>
        </w:rPr>
        <w:footnoteRef/>
      </w:r>
      <w:r w:rsidRPr="00CD6D50">
        <w:rPr>
          <w:color w:val="000000"/>
          <w:sz w:val="24"/>
          <w:szCs w:val="24"/>
        </w:rPr>
        <w:t xml:space="preserve"> </w:t>
      </w:r>
      <w:r w:rsidRPr="00CD6D50">
        <w:rPr>
          <w:color w:val="000000"/>
          <w:sz w:val="24"/>
          <w:szCs w:val="24"/>
        </w:rPr>
        <w:tab/>
      </w:r>
      <w:r w:rsidRPr="00CD6D50">
        <w:rPr>
          <w:color w:val="000000"/>
          <w:sz w:val="24"/>
          <w:szCs w:val="24"/>
        </w:rPr>
        <w:t>Directiva 2002/57/CE a Consiliului din 13 iunie 2002 privind comercializarea semințelor de plante oleaginoase și pentru fibre (JO L 193, 20.7.2002, p. 74).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D50" w:rsidRDefault="00CD6D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D50" w:rsidRDefault="00CD6D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D50" w:rsidRDefault="00CD6D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t;Model&gt;" w:val="TA_TC"/>
    <w:docVar w:name="Date" w:val="05/04/2022"/>
    <w:docVar w:name="DOCDT" w:val="05/04/2022"/>
    <w:docVar w:name="LastEditedSection" w:val=" 1"/>
    <w:docVar w:name="LVLMNU" w:val="1"/>
    <w:docVar w:name="Num-PE" w:val="695.884v01-00"/>
    <w:docVar w:name="strDocTypeID" w:val="TA_TC"/>
    <w:docVar w:name="strSubDir" w:val="A9-"/>
    <w:docVar w:name="TA_Type" w:val="TA_TC"/>
    <w:docVar w:name="Titre" w:val="adoptată în primă lectură la 5 aprilie 2022 în vederea adoptării Deciziei (UE) 2022/... a Parlamentului European și a Consiliului de modificare a Deciziei 2003/17/CE a Consiliului în ceea ce privește perioada de aplicare și în ceea ce privește echivalența inspecțiilor în câmp efectuate în Bolivia asupra culturilor producătoare de semințe de cereale și asupra culturilor producătoare de semințe de plante oleaginoase și pentru fibre și echivalența semințelor de cereale și a semințelor de plante oleaginoase și pentru fibre produse în Bolivia (EP-PE_TC1-COD(2022)0016)"/>
    <w:docVar w:name="Titre-Type" w:val="POZIŢIA PARLAMENTULUI EUROPEAN"/>
    <w:docVar w:name="TXTLANGUE" w:val="RO"/>
    <w:docVar w:name="TXTLANGUEMIN" w:val="ro"/>
    <w:docVar w:name="TXTNRCOD" w:val="0016"/>
    <w:docVar w:name="TXTNRPE" w:val="695.884v01-00"/>
    <w:docVar w:name="TXTPEorAP" w:val="PE"/>
    <w:docVar w:name="TXTREFSOURCE" w:val="EP-PE_TC1-COD(2022)0016"/>
    <w:docVar w:name="TXTROUTE" w:val="RR\A9-0053/2022RO.docx"/>
    <w:docVar w:name="TXTRULE" w:val="adoptată în primă lectură la 5 aprilie 2022 în vederea adoptării Deciziei (UE) 2022/... a Parlamentului European și a Consiliului de modificare a Deciziei 2003/17/CE a Consiliului în ceea ce privește perioada de aplicare și în ceea ce privește echivalența inspecțiilor în câmp efectuate în Bolivia asupra culturilor producătoare de semințe de cereale și asupra culturilor producătoare de semințe de plante oleaginoase și pentru fibre și echivalența semințelor de cereale și a semințelor de plante oleaginoase și pentru fibre produse în Bolivia"/>
    <w:docVar w:name="TXTRULE2" w:val="!ZZRULE2!"/>
    <w:docVar w:name="TXTRULE3" w:val="!ZZRULE3!"/>
    <w:docVar w:name="TXTYEAR" w:val="2022"/>
  </w:docVars>
  <w:rsids>
    <w:rsidRoot w:val="00CE77A5"/>
    <w:rsid w:val="00027017"/>
    <w:rsid w:val="00043BA5"/>
    <w:rsid w:val="000474B0"/>
    <w:rsid w:val="000502A5"/>
    <w:rsid w:val="000756C8"/>
    <w:rsid w:val="0009459A"/>
    <w:rsid w:val="000C620D"/>
    <w:rsid w:val="000E5181"/>
    <w:rsid w:val="000F2FE2"/>
    <w:rsid w:val="00123692"/>
    <w:rsid w:val="001502E1"/>
    <w:rsid w:val="00152E08"/>
    <w:rsid w:val="001A7617"/>
    <w:rsid w:val="002215E8"/>
    <w:rsid w:val="00243603"/>
    <w:rsid w:val="00253BB0"/>
    <w:rsid w:val="002611DA"/>
    <w:rsid w:val="002747B0"/>
    <w:rsid w:val="00287114"/>
    <w:rsid w:val="002A2A21"/>
    <w:rsid w:val="002B02A0"/>
    <w:rsid w:val="002E0D12"/>
    <w:rsid w:val="002E103F"/>
    <w:rsid w:val="003058E0"/>
    <w:rsid w:val="00320173"/>
    <w:rsid w:val="0032447B"/>
    <w:rsid w:val="00330FEA"/>
    <w:rsid w:val="00342886"/>
    <w:rsid w:val="003440CF"/>
    <w:rsid w:val="00376230"/>
    <w:rsid w:val="003813A9"/>
    <w:rsid w:val="003953F6"/>
    <w:rsid w:val="00395B64"/>
    <w:rsid w:val="003F247C"/>
    <w:rsid w:val="00407D75"/>
    <w:rsid w:val="004379F2"/>
    <w:rsid w:val="00482700"/>
    <w:rsid w:val="00494D50"/>
    <w:rsid w:val="00523372"/>
    <w:rsid w:val="00580C51"/>
    <w:rsid w:val="005A1111"/>
    <w:rsid w:val="005C4BEC"/>
    <w:rsid w:val="005C637F"/>
    <w:rsid w:val="005E195A"/>
    <w:rsid w:val="005F6117"/>
    <w:rsid w:val="00611C94"/>
    <w:rsid w:val="00612181"/>
    <w:rsid w:val="00624C56"/>
    <w:rsid w:val="00625E53"/>
    <w:rsid w:val="006305F0"/>
    <w:rsid w:val="0065496C"/>
    <w:rsid w:val="006A5C48"/>
    <w:rsid w:val="006D2788"/>
    <w:rsid w:val="006E3857"/>
    <w:rsid w:val="006F4902"/>
    <w:rsid w:val="00733242"/>
    <w:rsid w:val="007567DF"/>
    <w:rsid w:val="007C5179"/>
    <w:rsid w:val="007D1D58"/>
    <w:rsid w:val="007D769C"/>
    <w:rsid w:val="00821B14"/>
    <w:rsid w:val="00830287"/>
    <w:rsid w:val="00846F4F"/>
    <w:rsid w:val="008639EF"/>
    <w:rsid w:val="008C5553"/>
    <w:rsid w:val="008D3F7E"/>
    <w:rsid w:val="008D61B8"/>
    <w:rsid w:val="008D715A"/>
    <w:rsid w:val="00910A8D"/>
    <w:rsid w:val="0096592A"/>
    <w:rsid w:val="009844B0"/>
    <w:rsid w:val="009B5D8A"/>
    <w:rsid w:val="00A04F8B"/>
    <w:rsid w:val="00A20422"/>
    <w:rsid w:val="00A3406C"/>
    <w:rsid w:val="00A51CB9"/>
    <w:rsid w:val="00A51D8B"/>
    <w:rsid w:val="00AA1411"/>
    <w:rsid w:val="00AA2401"/>
    <w:rsid w:val="00AA4458"/>
    <w:rsid w:val="00AC3AA6"/>
    <w:rsid w:val="00B1598D"/>
    <w:rsid w:val="00B3321B"/>
    <w:rsid w:val="00B854C4"/>
    <w:rsid w:val="00B86D85"/>
    <w:rsid w:val="00B94A60"/>
    <w:rsid w:val="00BE0112"/>
    <w:rsid w:val="00BE4A46"/>
    <w:rsid w:val="00BE4AC1"/>
    <w:rsid w:val="00C00125"/>
    <w:rsid w:val="00C52FA5"/>
    <w:rsid w:val="00C539FA"/>
    <w:rsid w:val="00CC358E"/>
    <w:rsid w:val="00CD6D50"/>
    <w:rsid w:val="00CE77A5"/>
    <w:rsid w:val="00D06995"/>
    <w:rsid w:val="00D12572"/>
    <w:rsid w:val="00D217F0"/>
    <w:rsid w:val="00D51D39"/>
    <w:rsid w:val="00D5737D"/>
    <w:rsid w:val="00D65CB7"/>
    <w:rsid w:val="00DC49CB"/>
    <w:rsid w:val="00DD1790"/>
    <w:rsid w:val="00DD59A2"/>
    <w:rsid w:val="00DE1919"/>
    <w:rsid w:val="00E0132F"/>
    <w:rsid w:val="00E37826"/>
    <w:rsid w:val="00E75238"/>
    <w:rsid w:val="00E91480"/>
    <w:rsid w:val="00ED7C88"/>
    <w:rsid w:val="00EE2E3E"/>
    <w:rsid w:val="00EF4EBC"/>
    <w:rsid w:val="00F82DEC"/>
    <w:rsid w:val="00F9322F"/>
    <w:rsid w:val="00F946C8"/>
    <w:rsid w:val="00F97088"/>
    <w:rsid w:val="00FA48DA"/>
    <w:rsid w:val="00FA7A43"/>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EF588"/>
  <w15:chartTrackingRefBased/>
  <w15:docId w15:val="{3822B016-2531-4C46-B050-DC0C3683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995"/>
    <w:pPr>
      <w:widowControl w:val="0"/>
    </w:pPr>
    <w:rPr>
      <w:sz w:val="24"/>
      <w:szCs w:val="24"/>
      <w:lang w:val="ro-RO"/>
    </w:rPr>
  </w:style>
  <w:style w:type="paragraph" w:styleId="Heading1">
    <w:name w:val="heading 1"/>
    <w:basedOn w:val="Normal"/>
    <w:next w:val="Normal"/>
    <w:link w:val="Heading1Char"/>
    <w:semiHidden/>
    <w:qFormat/>
    <w:rsid w:val="00E3782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5F6117"/>
    <w:pPr>
      <w:tabs>
        <w:tab w:val="center" w:pos="4513"/>
        <w:tab w:val="right" w:pos="9026"/>
      </w:tabs>
    </w:pPr>
  </w:style>
  <w:style w:type="paragraph" w:styleId="BodyTextIndent">
    <w:name w:val="Body Text Indent"/>
    <w:basedOn w:val="Normal"/>
    <w:semiHidden/>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pPr>
    <w:rPr>
      <w:rFonts w:ascii="Arial" w:hAnsi="Arial"/>
      <w:b/>
      <w:sz w:val="48"/>
      <w:szCs w:val="20"/>
      <w:lang w:val="fr-FR"/>
    </w:rPr>
  </w:style>
  <w:style w:type="character" w:customStyle="1" w:styleId="HideTWBExt">
    <w:name w:val="HideTWBExt"/>
    <w:rsid w:val="00BE4AC1"/>
    <w:rPr>
      <w:rFonts w:ascii="Arial" w:hAnsi="Arial"/>
      <w:noProof/>
      <w:vanish/>
      <w:color w:val="000080"/>
      <w:sz w:val="20"/>
    </w:rPr>
  </w:style>
  <w:style w:type="character" w:customStyle="1" w:styleId="FooterChar">
    <w:name w:val="Footer Char"/>
    <w:basedOn w:val="DefaultParagraphFont"/>
    <w:link w:val="Footer"/>
    <w:semiHidden/>
    <w:rsid w:val="00D06995"/>
    <w:rPr>
      <w:sz w:val="24"/>
      <w:szCs w:val="24"/>
    </w:rPr>
  </w:style>
  <w:style w:type="table" w:styleId="TableGrid">
    <w:name w:val="Table Grid"/>
    <w:basedOn w:val="TableNormal"/>
    <w:rsid w:val="00BE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CC358E"/>
    <w:pPr>
      <w:jc w:val="center"/>
    </w:pPr>
    <w:rPr>
      <w:rFonts w:ascii="Arial" w:hAnsi="Arial" w:cs="Arial"/>
      <w:i/>
      <w:sz w:val="22"/>
      <w:szCs w:val="22"/>
    </w:rPr>
  </w:style>
  <w:style w:type="paragraph" w:customStyle="1" w:styleId="LineTop">
    <w:name w:val="LineTop"/>
    <w:basedOn w:val="Normal"/>
    <w:next w:val="Normal"/>
    <w:rsid w:val="00BE4AC1"/>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330FEA"/>
    <w:pPr>
      <w:pBdr>
        <w:bottom w:val="single" w:sz="4" w:space="1" w:color="auto"/>
      </w:pBdr>
      <w:spacing w:after="240"/>
      <w:jc w:val="center"/>
    </w:pPr>
    <w:rPr>
      <w:rFonts w:ascii="Arial" w:hAnsi="Arial" w:cs="Arial"/>
      <w:sz w:val="16"/>
      <w:szCs w:val="16"/>
    </w:rPr>
  </w:style>
  <w:style w:type="character" w:customStyle="1" w:styleId="HideTWBInt">
    <w:name w:val="HideTWBInt"/>
    <w:rsid w:val="00D06995"/>
    <w:rPr>
      <w:rFonts w:ascii="Arial" w:hAnsi="Arial" w:cs="Arial"/>
      <w:vanish/>
      <w:color w:val="808080"/>
      <w:sz w:val="20"/>
    </w:rPr>
  </w:style>
  <w:style w:type="paragraph" w:customStyle="1" w:styleId="CoverDocType">
    <w:name w:val="CoverDocType"/>
    <w:basedOn w:val="Normal"/>
    <w:rsid w:val="00BE0112"/>
    <w:pPr>
      <w:ind w:left="1418"/>
    </w:pPr>
    <w:rPr>
      <w:rFonts w:ascii="Arial" w:hAnsi="Arial"/>
      <w:b/>
      <w:bCs/>
      <w:sz w:val="48"/>
    </w:rPr>
  </w:style>
  <w:style w:type="paragraph" w:customStyle="1" w:styleId="EPFooter2">
    <w:name w:val="EPFooter2"/>
    <w:basedOn w:val="Normal"/>
    <w:next w:val="Normal"/>
    <w:rsid w:val="00CC358E"/>
    <w:pPr>
      <w:tabs>
        <w:tab w:val="center" w:pos="4535"/>
        <w:tab w:val="right" w:pos="9921"/>
      </w:tabs>
      <w:ind w:left="-850" w:right="-850"/>
    </w:pPr>
    <w:rPr>
      <w:rFonts w:ascii="Arial" w:hAnsi="Arial" w:cs="Arial"/>
      <w:b/>
      <w:sz w:val="48"/>
      <w:szCs w:val="20"/>
    </w:rPr>
  </w:style>
  <w:style w:type="character" w:styleId="PageNumber">
    <w:name w:val="page number"/>
    <w:basedOn w:val="DefaultParagraphFont"/>
    <w:semiHidden/>
    <w:rsid w:val="00BE4AC1"/>
  </w:style>
  <w:style w:type="paragraph" w:styleId="Header">
    <w:name w:val="header"/>
    <w:basedOn w:val="Normal"/>
    <w:link w:val="HeaderChar"/>
    <w:semiHidden/>
    <w:rsid w:val="00A3406C"/>
    <w:pPr>
      <w:tabs>
        <w:tab w:val="center" w:pos="4513"/>
        <w:tab w:val="right" w:pos="9026"/>
      </w:tabs>
    </w:pPr>
  </w:style>
  <w:style w:type="character" w:customStyle="1" w:styleId="HeaderChar">
    <w:name w:val="Header Char"/>
    <w:link w:val="Header"/>
    <w:semiHidden/>
    <w:rsid w:val="00BE0112"/>
    <w:rPr>
      <w:sz w:val="24"/>
      <w:szCs w:val="24"/>
    </w:rPr>
  </w:style>
  <w:style w:type="paragraph" w:styleId="EndnoteText">
    <w:name w:val="endnote text"/>
    <w:basedOn w:val="Normal"/>
    <w:link w:val="EndnoteTextChar"/>
    <w:semiHidden/>
    <w:rsid w:val="006305F0"/>
    <w:rPr>
      <w:sz w:val="20"/>
      <w:szCs w:val="20"/>
    </w:rPr>
  </w:style>
  <w:style w:type="character" w:customStyle="1" w:styleId="EndnoteTextChar">
    <w:name w:val="Endnote Text Char"/>
    <w:link w:val="EndnoteText"/>
    <w:semiHidden/>
    <w:rsid w:val="00BE0112"/>
  </w:style>
  <w:style w:type="character" w:styleId="EndnoteReference">
    <w:name w:val="endnote reference"/>
    <w:semiHidden/>
    <w:rsid w:val="006305F0"/>
    <w:rPr>
      <w:vertAlign w:val="superscript"/>
    </w:rPr>
  </w:style>
  <w:style w:type="paragraph" w:styleId="FootnoteText">
    <w:name w:val="footnote text"/>
    <w:basedOn w:val="Normal"/>
    <w:link w:val="FootnoteTextChar"/>
    <w:semiHidden/>
    <w:rsid w:val="006305F0"/>
    <w:rPr>
      <w:sz w:val="20"/>
      <w:szCs w:val="20"/>
    </w:rPr>
  </w:style>
  <w:style w:type="character" w:customStyle="1" w:styleId="FootnoteTextChar">
    <w:name w:val="Footnote Text Char"/>
    <w:link w:val="FootnoteText"/>
    <w:semiHidden/>
    <w:rsid w:val="005C637F"/>
  </w:style>
  <w:style w:type="character" w:styleId="FootnoteReference">
    <w:name w:val="footnote reference"/>
    <w:semiHidden/>
    <w:rsid w:val="006305F0"/>
    <w:rPr>
      <w:vertAlign w:val="superscript"/>
    </w:rPr>
  </w:style>
  <w:style w:type="paragraph" w:customStyle="1" w:styleId="EPName">
    <w:name w:val="EPName"/>
    <w:basedOn w:val="Normal"/>
    <w:rsid w:val="00580C51"/>
    <w:pPr>
      <w:spacing w:before="80" w:after="80"/>
    </w:pPr>
    <w:rPr>
      <w:rFonts w:ascii="Arial Narrow" w:hAnsi="Arial Narrow" w:cs="Arial"/>
      <w:b/>
      <w:sz w:val="32"/>
      <w:szCs w:val="22"/>
    </w:rPr>
  </w:style>
  <w:style w:type="paragraph" w:customStyle="1" w:styleId="EPTerm">
    <w:name w:val="EPTerm"/>
    <w:basedOn w:val="Normal"/>
    <w:next w:val="Normal"/>
    <w:rsid w:val="00580C51"/>
    <w:pPr>
      <w:spacing w:after="80"/>
    </w:pPr>
    <w:rPr>
      <w:rFonts w:ascii="Arial" w:hAnsi="Arial" w:cs="Arial"/>
      <w:sz w:val="20"/>
      <w:szCs w:val="22"/>
    </w:rPr>
  </w:style>
  <w:style w:type="paragraph" w:customStyle="1" w:styleId="EPLogo">
    <w:name w:val="EPLogo"/>
    <w:basedOn w:val="Normal"/>
    <w:qFormat/>
    <w:rsid w:val="00580C51"/>
    <w:pPr>
      <w:jc w:val="right"/>
    </w:pPr>
    <w:rPr>
      <w:szCs w:val="20"/>
    </w:rPr>
  </w:style>
  <w:style w:type="paragraph" w:customStyle="1" w:styleId="CoverDocType24a">
    <w:name w:val="CoverDocType24a"/>
    <w:basedOn w:val="Normal"/>
    <w:rsid w:val="00BE0112"/>
    <w:pPr>
      <w:spacing w:after="480"/>
      <w:ind w:left="1418"/>
    </w:pPr>
    <w:rPr>
      <w:rFonts w:ascii="Arial" w:hAnsi="Arial"/>
      <w:b/>
      <w:bCs/>
      <w:sz w:val="48"/>
    </w:rPr>
  </w:style>
  <w:style w:type="paragraph" w:customStyle="1" w:styleId="CoverNormal">
    <w:name w:val="CoverNormal"/>
    <w:basedOn w:val="Normal"/>
    <w:rsid w:val="00BE0112"/>
    <w:pPr>
      <w:ind w:left="1418"/>
    </w:pPr>
  </w:style>
  <w:style w:type="paragraph" w:customStyle="1" w:styleId="EPFooter">
    <w:name w:val="EPFooter"/>
    <w:basedOn w:val="Normal"/>
    <w:rsid w:val="005F6117"/>
    <w:pPr>
      <w:tabs>
        <w:tab w:val="center" w:pos="4535"/>
        <w:tab w:val="right" w:pos="9071"/>
      </w:tabs>
      <w:spacing w:before="240" w:after="240"/>
    </w:pPr>
    <w:rPr>
      <w:sz w:val="22"/>
    </w:rPr>
  </w:style>
  <w:style w:type="character" w:customStyle="1" w:styleId="Heading1Char">
    <w:name w:val="Heading 1 Char"/>
    <w:basedOn w:val="DefaultParagraphFont"/>
    <w:link w:val="Heading1"/>
    <w:semiHidden/>
    <w:rsid w:val="00E37826"/>
    <w:rPr>
      <w:rFonts w:asciiTheme="majorHAnsi" w:eastAsiaTheme="majorEastAsia" w:hAnsiTheme="majorHAnsi" w:cstheme="majorBidi"/>
      <w:color w:val="2E74B5" w:themeColor="accent1" w:themeShade="BF"/>
      <w:sz w:val="32"/>
      <w:szCs w:val="32"/>
    </w:rPr>
  </w:style>
  <w:style w:type="paragraph" w:styleId="TOCHeading">
    <w:name w:val="TOC Heading"/>
    <w:basedOn w:val="Normal"/>
    <w:next w:val="Normal"/>
    <w:uiPriority w:val="39"/>
    <w:semiHidden/>
    <w:unhideWhenUsed/>
    <w:qFormat/>
    <w:rsid w:val="00E37826"/>
    <w:pPr>
      <w:spacing w:after="240"/>
    </w:pPr>
  </w:style>
  <w:style w:type="paragraph" w:customStyle="1" w:styleId="CoverReference">
    <w:name w:val="CoverReference"/>
    <w:basedOn w:val="Normal"/>
    <w:rsid w:val="00D06995"/>
    <w:pPr>
      <w:spacing w:before="1080"/>
      <w:jc w:val="right"/>
    </w:pPr>
    <w:rPr>
      <w:rFonts w:ascii="Arial" w:hAnsi="Arial" w:cs="Arial"/>
      <w:b/>
      <w:szCs w:val="20"/>
    </w:rPr>
  </w:style>
  <w:style w:type="paragraph" w:customStyle="1" w:styleId="CoverDate">
    <w:name w:val="CoverDate"/>
    <w:basedOn w:val="Normal"/>
    <w:rsid w:val="00D06995"/>
    <w:pPr>
      <w:spacing w:before="240" w:after="1200"/>
    </w:pPr>
    <w:rPr>
      <w:szCs w:val="20"/>
    </w:rPr>
  </w:style>
  <w:style w:type="paragraph" w:customStyle="1" w:styleId="HeadingCenter24a">
    <w:name w:val="HeadingCenter24a"/>
    <w:basedOn w:val="Normal"/>
    <w:rsid w:val="008D715A"/>
    <w:pPr>
      <w:spacing w:after="48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2B44F-4320-420B-A656-0F0BDA05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959</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GHERMAN Laura</dc:creator>
  <cp:keywords/>
  <cp:lastModifiedBy>GHERMAN Laura</cp:lastModifiedBy>
  <cp:revision>2</cp:revision>
  <dcterms:created xsi:type="dcterms:W3CDTF">2022-04-13T10:25:00Z</dcterms:created>
  <dcterms:modified xsi:type="dcterms:W3CDTF">2022-04-13T10:25:00Z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RO</vt:lpwstr>
  </property>
  <property fmtid="{D5CDD505-2E9C-101B-9397-08002B2CF9AE}" pid="3" name="&lt;Model&gt;">
    <vt:lpwstr>TA_TC</vt:lpwstr>
  </property>
  <property fmtid="{D5CDD505-2E9C-101B-9397-08002B2CF9AE}" pid="4" name="&lt;Type&gt;">
    <vt:lpwstr>RR</vt:lpwstr>
  </property>
  <property fmtid="{D5CDD505-2E9C-101B-9397-08002B2CF9AE}" pid="5" name="PE number">
    <vt:lpwstr>695.884v01-00</vt:lpwstr>
  </property>
  <property fmtid="{D5CDD505-2E9C-101B-9397-08002B2CF9AE}" pid="6" name="Created with">
    <vt:lpwstr>9.11.0 Build [20211103]</vt:lpwstr>
  </property>
  <property fmtid="{D5CDD505-2E9C-101B-9397-08002B2CF9AE}" pid="7" name="LastEdited with">
    <vt:lpwstr>9.11.0 Build [20211103]</vt:lpwstr>
  </property>
  <property fmtid="{D5CDD505-2E9C-101B-9397-08002B2CF9AE}" pid="8" name="&lt;FdR&gt;">
    <vt:lpwstr>A9-0053/2022</vt:lpwstr>
  </property>
  <property fmtid="{D5CDD505-2E9C-101B-9397-08002B2CF9AE}" pid="9" name="&lt;ModelCod&gt;">
    <vt:lpwstr>NONE</vt:lpwstr>
  </property>
  <property fmtid="{D5CDD505-2E9C-101B-9397-08002B2CF9AE}" pid="10" name="&lt;ModelTra&gt;">
    <vt:lpwstr>NONE</vt:lpwstr>
  </property>
  <property fmtid="{D5CDD505-2E9C-101B-9397-08002B2CF9AE}" pid="11" name="FooterPath">
    <vt:lpwstr>RR\A9-0053/2022RO.docx</vt:lpwstr>
  </property>
</Properties>
</file>