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494D50" w:rsidRPr="00E4431B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494D50" w:rsidRPr="00E4431B" w:rsidRDefault="003D3E4D" w:rsidP="00C85D0F">
            <w:pPr>
              <w:pStyle w:val="EPName"/>
            </w:pPr>
            <w:r w:rsidRPr="00E4431B">
              <w:t>Evropski parlament</w:t>
            </w:r>
          </w:p>
          <w:p w:rsidR="00494D50" w:rsidRPr="00E4431B" w:rsidRDefault="00E4431B" w:rsidP="00E4431B">
            <w:pPr>
              <w:pStyle w:val="EPTerm"/>
            </w:pPr>
            <w:r w:rsidRPr="00E4431B">
              <w:t>2019-2024</w:t>
            </w:r>
          </w:p>
        </w:tc>
        <w:tc>
          <w:tcPr>
            <w:tcW w:w="2268" w:type="dxa"/>
            <w:shd w:val="clear" w:color="auto" w:fill="auto"/>
          </w:tcPr>
          <w:p w:rsidR="00494D50" w:rsidRPr="00E4431B" w:rsidRDefault="00494D50" w:rsidP="00C85D0F">
            <w:pPr>
              <w:pStyle w:val="EPLogo"/>
            </w:pPr>
            <w:r w:rsidRPr="00E4431B">
              <w:rPr>
                <w:noProof/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AC1" w:rsidRPr="00E4431B" w:rsidRDefault="00BE4AC1" w:rsidP="00BE4AC1">
      <w:pPr>
        <w:pStyle w:val="LineTop"/>
      </w:pPr>
    </w:p>
    <w:p w:rsidR="00BE4AC1" w:rsidRPr="00E4431B" w:rsidRDefault="003D3E4D" w:rsidP="00BE4AC1">
      <w:pPr>
        <w:pStyle w:val="EPBody"/>
      </w:pPr>
      <w:r w:rsidRPr="00E4431B">
        <w:t>Prečiščeni zakonodajni dokument</w:t>
      </w:r>
    </w:p>
    <w:p w:rsidR="00BE4AC1" w:rsidRPr="00E4431B" w:rsidRDefault="00BE4AC1" w:rsidP="00330FEA">
      <w:pPr>
        <w:pStyle w:val="LineBottom"/>
      </w:pPr>
    </w:p>
    <w:p w:rsidR="00D06995" w:rsidRPr="00E4431B" w:rsidRDefault="00E4431B" w:rsidP="003D3E4D">
      <w:pPr>
        <w:pStyle w:val="CoverReference"/>
      </w:pPr>
      <w:r w:rsidRPr="00E4431B">
        <w:t>EP-PE_TC1-COD(2022)0232</w:t>
      </w:r>
    </w:p>
    <w:p w:rsidR="00D06995" w:rsidRPr="00E4431B" w:rsidRDefault="00E4431B" w:rsidP="00E4431B">
      <w:pPr>
        <w:pStyle w:val="CoverDate"/>
      </w:pPr>
      <w:r w:rsidRPr="00E4431B">
        <w:rPr>
          <w:rStyle w:val="HideTWBInt"/>
        </w:rPr>
        <w:t>{13/12/2022}</w:t>
      </w:r>
      <w:r w:rsidRPr="00E4431B">
        <w:t>13.12.2022</w:t>
      </w:r>
    </w:p>
    <w:p w:rsidR="00BE4AC1" w:rsidRPr="00E4431B" w:rsidRDefault="00E4431B" w:rsidP="003D3E4D">
      <w:pPr>
        <w:pStyle w:val="CoverDocType"/>
      </w:pPr>
      <w:r w:rsidRPr="00E4431B">
        <w:t>***I</w:t>
      </w:r>
    </w:p>
    <w:p w:rsidR="00BE4AC1" w:rsidRPr="00E4431B" w:rsidRDefault="003D3E4D" w:rsidP="00BE0112">
      <w:pPr>
        <w:pStyle w:val="CoverDocType24a"/>
      </w:pPr>
      <w:r w:rsidRPr="00E4431B">
        <w:t>STALIŠČE EVROPSKEGA PARLAMENTA</w:t>
      </w:r>
    </w:p>
    <w:p w:rsidR="0096592A" w:rsidRPr="00E4431B" w:rsidRDefault="00E4431B" w:rsidP="00E4431B">
      <w:pPr>
        <w:pStyle w:val="CoverNormal"/>
      </w:pPr>
      <w:r w:rsidRPr="00E4431B">
        <w:t>sprejeto v prvi obravnavi 13. decembra 2022</w:t>
      </w:r>
      <w:r>
        <w:t xml:space="preserve"> </w:t>
      </w:r>
      <w:r w:rsidRPr="00E4431B">
        <w:t>z namenom sprejetja Uredbe (EU) 2022/... Evropskega parlamenta in Sveta o razveljavitvi Uredbe Sveta (EGS) št. 1108/70 o uvedbi računovodskega sistema izdatkov za infrastrukturo v železniškem in cestnem prometu ter prometu po celinskih plovnih poteh in razveljavitvi Uredbe Komisije (ES) št. 851/2006 o določitvi vsebine postavk v računovodskih obrazcih iz Priloge I k Uredbi Sveta (EGS) št. 1108/70</w:t>
      </w:r>
    </w:p>
    <w:p w:rsidR="001A7617" w:rsidRPr="00E4431B" w:rsidRDefault="00BE4AC1" w:rsidP="00BE0112">
      <w:pPr>
        <w:pStyle w:val="CoverNormal"/>
      </w:pPr>
      <w:r w:rsidRPr="00E4431B">
        <w:t>(</w:t>
      </w:r>
      <w:r w:rsidR="00E4431B" w:rsidRPr="00E4431B">
        <w:t>EP-PE_TC1-COD(2022)0232</w:t>
      </w:r>
      <w:r w:rsidRPr="00E4431B">
        <w:t>)</w:t>
      </w:r>
    </w:p>
    <w:p w:rsidR="00BE0112" w:rsidRPr="00E4431B" w:rsidRDefault="00BE0112" w:rsidP="009844B0"/>
    <w:p w:rsidR="00BE0112" w:rsidRPr="00E4431B" w:rsidRDefault="00BE0112" w:rsidP="009844B0">
      <w:pPr>
        <w:sectPr w:rsidR="00BE0112" w:rsidRPr="00E4431B" w:rsidSect="00E44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6" w:h="16838" w:code="9"/>
          <w:pgMar w:top="1134" w:right="1418" w:bottom="1418" w:left="1418" w:header="1134" w:footer="567" w:gutter="0"/>
          <w:pgNumType w:fmt="numberInDash" w:start="0"/>
          <w:cols w:space="720"/>
          <w:titlePg/>
        </w:sectPr>
      </w:pPr>
    </w:p>
    <w:p w:rsidR="00A51CB9" w:rsidRPr="00E4431B" w:rsidRDefault="003D3E4D" w:rsidP="008D715A">
      <w:pPr>
        <w:pStyle w:val="HeadingCenter24a"/>
      </w:pPr>
      <w:r w:rsidRPr="00E4431B">
        <w:lastRenderedPageBreak/>
        <w:t>STALIŠČE EVROPSKEGA PARLAMENTA</w:t>
      </w:r>
    </w:p>
    <w:p w:rsidR="0032447B" w:rsidRPr="00E4431B" w:rsidRDefault="00E4431B" w:rsidP="003D3E4D">
      <w:pPr>
        <w:pStyle w:val="HeadingCenter24a"/>
      </w:pPr>
      <w:r w:rsidRPr="00E4431B">
        <w:t>sprejeto v prvi obravnavi 13. decembra 2022</w:t>
      </w:r>
    </w:p>
    <w:p w:rsidR="00523372" w:rsidRPr="00E4431B" w:rsidRDefault="00E4431B" w:rsidP="003D3E4D">
      <w:pPr>
        <w:pStyle w:val="HeadingCenter24a"/>
      </w:pPr>
      <w:r w:rsidRPr="00E4431B">
        <w:t>z namenom sprejetja Uredbe (EU) 2022/... Evropskega parlamenta in Sveta o razveljavitvi Uredbe Sveta (EGS) št. 1108/70 o uvedbi računovodskega sistema izdatkov za infrastrukturo v železniškem in cestnem prometu ter prometu po celinskih plovnih poteh in razveljavitvi Uredbe Komisije (ES) št. 851/2006 o določitvi vsebine postavk v računovodskih obrazcih iz Priloge I k Uredbi Sveta (EGS) št. 1108/70</w:t>
      </w:r>
    </w:p>
    <w:p w:rsidR="00E4431B" w:rsidRPr="00E4431B" w:rsidRDefault="00E4431B" w:rsidP="00E4431B">
      <w:pPr>
        <w:keepNext/>
        <w:widowControl/>
        <w:spacing w:before="600" w:after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EVROPSKI PARLAMENT IN SVET EVROPSKE UNIJE STA ‒</w:t>
      </w:r>
    </w:p>
    <w:p w:rsidR="00E4431B" w:rsidRPr="00E4431B" w:rsidRDefault="00E4431B" w:rsidP="00E4431B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ob upoštevanju Pogodbe o delovanju Evropske unije in zlasti člena 91 Pogodbe,</w:t>
      </w:r>
    </w:p>
    <w:p w:rsidR="00E4431B" w:rsidRPr="00E4431B" w:rsidRDefault="00E4431B" w:rsidP="00E4431B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ob upoštevanju predloga Evropske komisije,</w:t>
      </w:r>
    </w:p>
    <w:p w:rsidR="00E4431B" w:rsidRPr="00E4431B" w:rsidRDefault="00E4431B" w:rsidP="00E4431B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po posredovanju osnutka zakonodajnega akta nacionalnim parlamentom,</w:t>
      </w:r>
    </w:p>
    <w:p w:rsidR="00E4431B" w:rsidRPr="00E4431B" w:rsidRDefault="00E4431B" w:rsidP="00E4431B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ob upoštevanju mnenja Evropskega ekonomsko-socialnega odbora</w:t>
      </w:r>
      <w:r w:rsidRPr="00E4431B">
        <w:rPr>
          <w:rFonts w:eastAsia="Calibri"/>
          <w:szCs w:val="22"/>
          <w:vertAlign w:val="superscript"/>
          <w:lang w:eastAsia="en-US"/>
        </w:rPr>
        <w:footnoteReference w:id="1"/>
      </w:r>
      <w:r w:rsidRPr="00E4431B">
        <w:rPr>
          <w:rFonts w:eastAsia="Calibri"/>
          <w:szCs w:val="22"/>
          <w:lang w:eastAsia="en-US"/>
        </w:rPr>
        <w:t xml:space="preserve">, </w:t>
      </w:r>
    </w:p>
    <w:p w:rsidR="00E4431B" w:rsidRPr="00E4431B" w:rsidRDefault="00E4431B" w:rsidP="00E4431B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 xml:space="preserve">po posvetovanju z Odborom regij, </w:t>
      </w:r>
    </w:p>
    <w:p w:rsidR="00E4431B" w:rsidRPr="00E4431B" w:rsidRDefault="00E4431B" w:rsidP="00E4431B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v skladu z rednim zakonodajnim postopkom</w:t>
      </w:r>
      <w:r w:rsidRPr="00E4431B">
        <w:rPr>
          <w:rFonts w:eastAsia="Calibri"/>
          <w:szCs w:val="22"/>
          <w:vertAlign w:val="superscript"/>
          <w:lang w:eastAsia="en-US"/>
        </w:rPr>
        <w:footnoteReference w:id="2"/>
      </w:r>
      <w:r w:rsidRPr="00E4431B">
        <w:rPr>
          <w:rFonts w:eastAsia="Calibri"/>
          <w:szCs w:val="22"/>
          <w:lang w:eastAsia="en-US"/>
        </w:rPr>
        <w:t>,</w:t>
      </w:r>
    </w:p>
    <w:p w:rsidR="00E4431B" w:rsidRPr="00E4431B" w:rsidRDefault="00E4431B" w:rsidP="00E4431B">
      <w:pPr>
        <w:widowControl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br w:type="page"/>
      </w:r>
    </w:p>
    <w:p w:rsidR="00E4431B" w:rsidRPr="00E4431B" w:rsidRDefault="00E4431B" w:rsidP="00E4431B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lastRenderedPageBreak/>
        <w:t>ob upoštevanju naslednjega:</w:t>
      </w:r>
    </w:p>
    <w:p w:rsidR="00E4431B" w:rsidRPr="00E4431B" w:rsidRDefault="00E4431B" w:rsidP="00E4431B">
      <w:pPr>
        <w:widowControl/>
        <w:spacing w:before="120" w:after="120" w:line="360" w:lineRule="auto"/>
        <w:ind w:left="851" w:hanging="851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(1)</w:t>
      </w:r>
      <w:r w:rsidRPr="00E4431B">
        <w:rPr>
          <w:rFonts w:eastAsia="Calibri"/>
          <w:szCs w:val="22"/>
          <w:lang w:eastAsia="en-US"/>
        </w:rPr>
        <w:tab/>
        <w:t>Evropski parlament, Svet in Komisija so v Medinstitucionalnem sporazumu z dne 13. aprila 2016 o boljši pripravi zakonodaje</w:t>
      </w:r>
      <w:r w:rsidRPr="00E4431B">
        <w:rPr>
          <w:rFonts w:eastAsia="Calibri"/>
          <w:szCs w:val="22"/>
          <w:vertAlign w:val="superscript"/>
          <w:lang w:eastAsia="en-US"/>
        </w:rPr>
        <w:footnoteReference w:id="3"/>
      </w:r>
      <w:r w:rsidRPr="00E4431B">
        <w:rPr>
          <w:rFonts w:eastAsia="Calibri"/>
          <w:szCs w:val="22"/>
          <w:lang w:eastAsia="en-US"/>
        </w:rPr>
        <w:t xml:space="preserve"> potrdili svojo skupno zavezo za posodobitev in poenostavitev zakonodaje Unije.</w:t>
      </w:r>
    </w:p>
    <w:p w:rsidR="00E4431B" w:rsidRPr="00E4431B" w:rsidRDefault="00E4431B" w:rsidP="00E4431B">
      <w:pPr>
        <w:widowControl/>
        <w:spacing w:before="120" w:after="120" w:line="360" w:lineRule="auto"/>
        <w:ind w:left="851" w:hanging="851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(2)</w:t>
      </w:r>
      <w:r w:rsidRPr="00E4431B">
        <w:rPr>
          <w:rFonts w:eastAsia="Calibri"/>
          <w:szCs w:val="22"/>
          <w:lang w:eastAsia="en-US"/>
        </w:rPr>
        <w:tab/>
        <w:t>Primerno je, da se pravni red Unije redno analizira, da se lahko posodobi in, kadar je mogoče, zmanjša njegov obseg. Razveljavljanje zastarele zakonodaje pripomore k ohranjanju preglednosti, jasnosti in enostavnosti uporabe zakonodajnega okvira Unije za države članice in zadevne deležnike.</w:t>
      </w:r>
    </w:p>
    <w:p w:rsidR="00E4431B" w:rsidRPr="00E4431B" w:rsidRDefault="00E4431B" w:rsidP="00E4431B">
      <w:pPr>
        <w:widowControl/>
        <w:spacing w:before="120" w:after="120" w:line="360" w:lineRule="auto"/>
        <w:ind w:left="851" w:hanging="851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(3)</w:t>
      </w:r>
      <w:r w:rsidRPr="00E4431B">
        <w:rPr>
          <w:rFonts w:eastAsia="Calibri"/>
          <w:szCs w:val="22"/>
          <w:lang w:eastAsia="en-US"/>
        </w:rPr>
        <w:tab/>
        <w:t>Uredba Sveta (EGS) št. 1108/70</w:t>
      </w:r>
      <w:r w:rsidRPr="00E4431B">
        <w:rPr>
          <w:rFonts w:eastAsia="Calibri"/>
          <w:szCs w:val="22"/>
          <w:vertAlign w:val="superscript"/>
          <w:lang w:eastAsia="en-US"/>
        </w:rPr>
        <w:footnoteReference w:id="4"/>
      </w:r>
      <w:r w:rsidRPr="00E4431B">
        <w:rPr>
          <w:rFonts w:eastAsia="Calibri"/>
          <w:szCs w:val="22"/>
          <w:lang w:eastAsia="en-US"/>
        </w:rPr>
        <w:t xml:space="preserve"> od držav članic zahteva, da poročajo o izdatkih za infrastrukturo v železniškem in cestnem prometu ter prometu po celinskih plovnih poteh ter o podatkih v zvezi z uporabo take infrastrukture. </w:t>
      </w:r>
    </w:p>
    <w:p w:rsidR="00E4431B" w:rsidRPr="00E4431B" w:rsidRDefault="00E4431B" w:rsidP="00E4431B">
      <w:pPr>
        <w:widowControl/>
        <w:spacing w:before="120" w:after="120" w:line="360" w:lineRule="auto"/>
        <w:ind w:left="851" w:hanging="851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(4)</w:t>
      </w:r>
      <w:r w:rsidRPr="00E4431B">
        <w:rPr>
          <w:rFonts w:eastAsia="Calibri"/>
          <w:szCs w:val="22"/>
          <w:lang w:eastAsia="en-US"/>
        </w:rPr>
        <w:tab/>
        <w:t>Uredba (EGS) št. 1108/70 vsebuje zastarele določbe in opredelitve pojmov ter je neskladna in nezdružljiva z novejšimi trenutno veljavnimi pravnimi akti Unije, v skladu s katerimi morajo države članice poročati o podatkih o naložbah v prometno infrastrukturo in njeni uporabi.</w:t>
      </w:r>
    </w:p>
    <w:p w:rsidR="00E4431B" w:rsidRPr="00E4431B" w:rsidRDefault="00E4431B" w:rsidP="00E4431B">
      <w:pPr>
        <w:widowControl/>
        <w:spacing w:before="120" w:after="120" w:line="360" w:lineRule="auto"/>
        <w:ind w:left="851" w:hanging="851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(5)</w:t>
      </w:r>
      <w:r w:rsidRPr="00E4431B">
        <w:rPr>
          <w:rFonts w:eastAsia="Calibri"/>
          <w:szCs w:val="22"/>
          <w:lang w:eastAsia="en-US"/>
        </w:rPr>
        <w:tab/>
        <w:t>Uredba (EGS) št. 1108/70 je povezana s prekomernimi upravnimi težavami pri zbiranju podatkov, ki jih zahteva navedena uredba. Od leta 2005 so samo štiri države članice predložile take podatke.</w:t>
      </w:r>
    </w:p>
    <w:p w:rsidR="00E4431B" w:rsidRPr="00E4431B" w:rsidRDefault="00E4431B" w:rsidP="00E4431B">
      <w:pPr>
        <w:widowControl/>
        <w:spacing w:before="120" w:after="120" w:line="360" w:lineRule="auto"/>
        <w:ind w:left="851" w:hanging="851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(6)</w:t>
      </w:r>
      <w:r w:rsidRPr="00E4431B">
        <w:rPr>
          <w:rFonts w:eastAsia="Calibri"/>
          <w:szCs w:val="22"/>
          <w:lang w:eastAsia="en-US"/>
        </w:rPr>
        <w:tab/>
        <w:t xml:space="preserve">Uredbo (EGS) št. 1108/70 bi bilo zato treba razveljaviti, da se odpravijo nedoslednosti v pravnem redu Unije in da se z odpravo zdaj zastarelega pravnega akta prispeva k poenostavitvi zakonodaje Unije. </w:t>
      </w:r>
    </w:p>
    <w:p w:rsidR="008F09C0" w:rsidRDefault="00E4431B" w:rsidP="00E4431B">
      <w:pPr>
        <w:widowControl/>
        <w:spacing w:before="120" w:after="120" w:line="360" w:lineRule="auto"/>
        <w:ind w:left="851" w:hanging="851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(7)</w:t>
      </w:r>
      <w:r w:rsidRPr="00E4431B">
        <w:rPr>
          <w:rFonts w:eastAsia="Calibri"/>
          <w:szCs w:val="22"/>
          <w:lang w:eastAsia="en-US"/>
        </w:rPr>
        <w:tab/>
        <w:t>Ker Uredba Komisije (ES) št. 851/2006</w:t>
      </w:r>
      <w:r w:rsidRPr="00E4431B">
        <w:rPr>
          <w:rFonts w:eastAsia="Calibri"/>
          <w:szCs w:val="22"/>
          <w:vertAlign w:val="superscript"/>
          <w:lang w:eastAsia="en-US"/>
        </w:rPr>
        <w:footnoteReference w:id="5"/>
      </w:r>
      <w:r w:rsidRPr="00E4431B">
        <w:rPr>
          <w:rFonts w:eastAsia="Calibri"/>
          <w:szCs w:val="22"/>
          <w:lang w:eastAsia="en-US"/>
        </w:rPr>
        <w:t xml:space="preserve"> izvaja Uredbo (EGS) št. 1108/70, bo njen namen prenehal z razveljavitvijo Uredbe (EGS) št. 1108/70. Uredbo (ES) št. 851/2006 bi bilo zato prav tako treba razveljaviti ‒</w:t>
      </w:r>
      <w:r w:rsidR="008F09C0">
        <w:rPr>
          <w:rFonts w:eastAsia="Calibri"/>
          <w:szCs w:val="22"/>
          <w:lang w:eastAsia="en-US"/>
        </w:rPr>
        <w:br w:type="page"/>
      </w:r>
    </w:p>
    <w:p w:rsidR="00E4431B" w:rsidRPr="00E4431B" w:rsidRDefault="00E4431B" w:rsidP="00E4431B">
      <w:pPr>
        <w:keepNext/>
        <w:widowControl/>
        <w:spacing w:before="120" w:after="120" w:line="360" w:lineRule="auto"/>
        <w:jc w:val="both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lastRenderedPageBreak/>
        <w:t>SPREJELA NASLEDNJO UREDBO:</w:t>
      </w:r>
    </w:p>
    <w:p w:rsidR="00E4431B" w:rsidRPr="00E4431B" w:rsidRDefault="00E4431B" w:rsidP="00E4431B">
      <w:pPr>
        <w:keepNext/>
        <w:widowControl/>
        <w:spacing w:before="360" w:after="120" w:line="360" w:lineRule="auto"/>
        <w:jc w:val="center"/>
        <w:rPr>
          <w:rFonts w:eastAsia="Calibri"/>
          <w:iCs/>
          <w:szCs w:val="22"/>
          <w:lang w:eastAsia="en-US"/>
        </w:rPr>
      </w:pPr>
      <w:r w:rsidRPr="00E4431B">
        <w:rPr>
          <w:rFonts w:eastAsia="Calibri"/>
          <w:iCs/>
          <w:szCs w:val="22"/>
          <w:lang w:eastAsia="en-US"/>
        </w:rPr>
        <w:t>Člen 1</w:t>
      </w:r>
    </w:p>
    <w:p w:rsidR="00E4431B" w:rsidRPr="00E4431B" w:rsidRDefault="00E4431B" w:rsidP="00E4431B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Uredbi (EGS) št. 1108/70 in (ES) št. 851/2006 se razveljavita.</w:t>
      </w:r>
    </w:p>
    <w:p w:rsidR="00E4431B" w:rsidRPr="00E4431B" w:rsidRDefault="00E4431B" w:rsidP="00E4431B">
      <w:pPr>
        <w:keepNext/>
        <w:widowControl/>
        <w:spacing w:before="360" w:after="120" w:line="360" w:lineRule="auto"/>
        <w:jc w:val="center"/>
        <w:rPr>
          <w:rFonts w:eastAsia="Calibri"/>
          <w:iCs/>
          <w:szCs w:val="22"/>
          <w:lang w:eastAsia="en-US"/>
        </w:rPr>
      </w:pPr>
      <w:r w:rsidRPr="00E4431B">
        <w:rPr>
          <w:rFonts w:eastAsia="Calibri"/>
          <w:iCs/>
          <w:szCs w:val="22"/>
          <w:lang w:eastAsia="en-US"/>
        </w:rPr>
        <w:t>Člen 2</w:t>
      </w:r>
    </w:p>
    <w:p w:rsidR="00E4431B" w:rsidRPr="00E4431B" w:rsidRDefault="00E4431B" w:rsidP="00E4431B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 xml:space="preserve">Ta uredba začne veljati dvajseti dan po objavi v </w:t>
      </w:r>
      <w:r w:rsidRPr="00E4431B">
        <w:rPr>
          <w:rFonts w:eastAsia="Calibri"/>
          <w:i/>
          <w:szCs w:val="22"/>
          <w:lang w:eastAsia="en-US"/>
        </w:rPr>
        <w:t>Uradnem listu Evropske unije</w:t>
      </w:r>
      <w:r w:rsidRPr="00E4431B">
        <w:rPr>
          <w:rFonts w:eastAsia="Calibri"/>
          <w:szCs w:val="22"/>
          <w:lang w:eastAsia="en-US"/>
        </w:rPr>
        <w:t>.</w:t>
      </w:r>
    </w:p>
    <w:p w:rsidR="00E4431B" w:rsidRPr="00E4431B" w:rsidRDefault="00E4431B" w:rsidP="00E4431B">
      <w:pPr>
        <w:widowControl/>
        <w:spacing w:before="480" w:after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Ta uredba je v celoti zavezujoča in se neposredno uporablja v vseh državah članicah.</w:t>
      </w:r>
    </w:p>
    <w:p w:rsidR="00E4431B" w:rsidRPr="00E4431B" w:rsidRDefault="00E4431B" w:rsidP="00E4431B">
      <w:pPr>
        <w:keepNext/>
        <w:widowControl/>
        <w:spacing w:before="120" w:line="360" w:lineRule="auto"/>
        <w:rPr>
          <w:rFonts w:eastAsia="Calibri"/>
          <w:szCs w:val="22"/>
          <w:lang w:eastAsia="en-US"/>
        </w:rPr>
      </w:pPr>
      <w:r w:rsidRPr="00E4431B">
        <w:rPr>
          <w:rFonts w:eastAsia="Calibri"/>
          <w:szCs w:val="22"/>
          <w:lang w:eastAsia="en-US"/>
        </w:rPr>
        <w:t>V ...,</w:t>
      </w:r>
    </w:p>
    <w:p w:rsidR="00E4431B" w:rsidRPr="00E4431B" w:rsidRDefault="00E4431B" w:rsidP="00E4431B">
      <w:pPr>
        <w:keepNext/>
        <w:widowControl/>
        <w:tabs>
          <w:tab w:val="left" w:pos="4252"/>
        </w:tabs>
        <w:spacing w:before="720" w:line="360" w:lineRule="auto"/>
        <w:jc w:val="both"/>
        <w:rPr>
          <w:rFonts w:eastAsia="Calibri"/>
          <w:i/>
          <w:szCs w:val="22"/>
          <w:lang w:eastAsia="en-US"/>
        </w:rPr>
      </w:pPr>
      <w:r w:rsidRPr="00E4431B">
        <w:rPr>
          <w:rFonts w:eastAsia="Calibri"/>
          <w:i/>
          <w:szCs w:val="22"/>
          <w:lang w:eastAsia="en-US"/>
        </w:rPr>
        <w:t>Za Evropski parlament</w:t>
      </w:r>
      <w:r w:rsidRPr="00E4431B">
        <w:rPr>
          <w:rFonts w:eastAsia="Calibri"/>
          <w:i/>
          <w:szCs w:val="22"/>
          <w:lang w:eastAsia="en-US"/>
        </w:rPr>
        <w:tab/>
        <w:t>Za Svet</w:t>
      </w:r>
    </w:p>
    <w:p w:rsidR="000F2FE2" w:rsidRPr="00E4431B" w:rsidRDefault="00E4431B" w:rsidP="008F09C0">
      <w:pPr>
        <w:widowControl/>
        <w:tabs>
          <w:tab w:val="left" w:pos="4252"/>
        </w:tabs>
        <w:spacing w:line="360" w:lineRule="auto"/>
      </w:pPr>
      <w:r w:rsidRPr="00E4431B">
        <w:rPr>
          <w:rFonts w:eastAsia="Calibri"/>
          <w:i/>
          <w:szCs w:val="22"/>
          <w:lang w:eastAsia="en-US"/>
        </w:rPr>
        <w:t>predsednica</w:t>
      </w:r>
      <w:r w:rsidRPr="00E4431B">
        <w:rPr>
          <w:rFonts w:eastAsia="Calibri"/>
          <w:i/>
          <w:szCs w:val="22"/>
          <w:lang w:eastAsia="en-US"/>
        </w:rPr>
        <w:tab/>
        <w:t>predsednik/predsednica</w:t>
      </w:r>
      <w:bookmarkStart w:id="0" w:name="_GoBack"/>
      <w:bookmarkEnd w:id="0"/>
    </w:p>
    <w:sectPr w:rsidR="000F2FE2" w:rsidRPr="00E4431B" w:rsidSect="009844B0">
      <w:footerReference w:type="first" r:id="rId14"/>
      <w:footnotePr>
        <w:numRestart w:val="eachPage"/>
      </w:footnotePr>
      <w:pgSz w:w="11906" w:h="16838" w:code="9"/>
      <w:pgMar w:top="1134" w:right="1418" w:bottom="1418" w:left="1418" w:header="1134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E0" w:rsidRPr="00E4431B" w:rsidRDefault="00396BE0">
      <w:r w:rsidRPr="00E4431B">
        <w:separator/>
      </w:r>
    </w:p>
    <w:p w:rsidR="00396BE0" w:rsidRPr="00E4431B" w:rsidRDefault="00396BE0"/>
  </w:endnote>
  <w:endnote w:type="continuationSeparator" w:id="0">
    <w:p w:rsidR="00396BE0" w:rsidRPr="00E4431B" w:rsidRDefault="00396BE0">
      <w:r w:rsidRPr="00E4431B">
        <w:continuationSeparator/>
      </w:r>
    </w:p>
    <w:p w:rsidR="00396BE0" w:rsidRPr="00E4431B" w:rsidRDefault="00396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1B" w:rsidRPr="00E4431B" w:rsidRDefault="00E44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14" w:rsidRPr="00E4431B" w:rsidRDefault="00E4431B" w:rsidP="00E4431B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8F09C0">
      <w:rPr>
        <w:noProof/>
      </w:rPr>
      <w:t>- 3 -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6C" w:rsidRPr="00E4431B" w:rsidRDefault="00A3406C" w:rsidP="00E4431B">
    <w:pPr>
      <w:pStyle w:val="EPFooter"/>
    </w:pPr>
    <w:r w:rsidRPr="00E4431B">
      <w:tab/>
    </w:r>
    <w:r w:rsidRPr="00E4431B">
      <w:tab/>
    </w:r>
    <w:r w:rsidR="003D3E4D" w:rsidRPr="00E4431B">
      <w:t>PE</w:t>
    </w:r>
    <w:r w:rsidR="00E4431B" w:rsidRPr="00E4431B">
      <w:t>704.414v01-00</w:t>
    </w:r>
  </w:p>
  <w:p w:rsidR="00AA1411" w:rsidRPr="00E4431B" w:rsidRDefault="00E4431B" w:rsidP="00E4431B">
    <w:pPr>
      <w:pStyle w:val="EPFooter2"/>
      <w:tabs>
        <w:tab w:val="clear" w:pos="4535"/>
        <w:tab w:val="center" w:pos="4536"/>
      </w:tabs>
      <w:ind w:left="-840"/>
    </w:pPr>
    <w:r w:rsidRPr="00E4431B">
      <w:fldChar w:fldCharType="begin"/>
    </w:r>
    <w:r w:rsidRPr="00E4431B">
      <w:instrText xml:space="preserve"> DOCPROPERTY "&lt;Extension&gt;" </w:instrText>
    </w:r>
    <w:r w:rsidRPr="00E4431B">
      <w:fldChar w:fldCharType="separate"/>
    </w:r>
    <w:r>
      <w:t>SL</w:t>
    </w:r>
    <w:r w:rsidRPr="00E4431B">
      <w:fldChar w:fldCharType="end"/>
    </w:r>
    <w:r w:rsidR="00AA1411" w:rsidRPr="00E4431B">
      <w:tab/>
    </w:r>
    <w:r w:rsidRPr="00E4431B">
      <w:rPr>
        <w:b w:val="0"/>
        <w:i/>
        <w:color w:val="C0C0C0"/>
        <w:sz w:val="22"/>
        <w:szCs w:val="22"/>
      </w:rPr>
      <w:t>Združena v raznolikosti</w:t>
    </w:r>
    <w:r w:rsidR="00AA1411" w:rsidRPr="00E4431B">
      <w:tab/>
    </w:r>
    <w:r w:rsidRPr="00E4431B">
      <w:fldChar w:fldCharType="begin"/>
    </w:r>
    <w:r w:rsidRPr="00E4431B">
      <w:instrText xml:space="preserve"> DOCPROPERTY "&lt;Extension&gt;" </w:instrText>
    </w:r>
    <w:r w:rsidRPr="00E4431B">
      <w:fldChar w:fldCharType="separate"/>
    </w:r>
    <w:r>
      <w:t>SL</w:t>
    </w:r>
    <w:r w:rsidRPr="00E4431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B0" w:rsidRPr="00E4431B" w:rsidRDefault="009844B0" w:rsidP="00E4431B">
    <w:pPr>
      <w:pStyle w:val="EPFooter"/>
    </w:pPr>
    <w:r w:rsidRPr="00E4431B">
      <w:tab/>
    </w:r>
    <w:r w:rsidRPr="00E4431B">
      <w:tab/>
    </w:r>
    <w:r w:rsidR="003D3E4D" w:rsidRPr="00E4431B">
      <w:t>PE</w:t>
    </w:r>
    <w:r w:rsidR="00E4431B" w:rsidRPr="00E4431B">
      <w:t>704.414v01-00</w:t>
    </w:r>
  </w:p>
  <w:p w:rsidR="009844B0" w:rsidRPr="00E4431B" w:rsidRDefault="00494D50" w:rsidP="00E4431B">
    <w:pPr>
      <w:pStyle w:val="EPFooter2"/>
      <w:tabs>
        <w:tab w:val="clear" w:pos="4535"/>
        <w:tab w:val="center" w:pos="4536"/>
      </w:tabs>
      <w:ind w:left="-840"/>
    </w:pPr>
    <w:r w:rsidRPr="00E4431B">
      <w:fldChar w:fldCharType="begin"/>
    </w:r>
    <w:r w:rsidRPr="00E4431B">
      <w:instrText xml:space="preserve"> DOCPROPERTY "&lt;Extension&gt;" </w:instrText>
    </w:r>
    <w:r w:rsidRPr="00E4431B">
      <w:fldChar w:fldCharType="separate"/>
    </w:r>
    <w:r w:rsidR="00E4431B" w:rsidRPr="00E4431B">
      <w:t>SL</w:t>
    </w:r>
    <w:r w:rsidRPr="00E4431B">
      <w:fldChar w:fldCharType="end"/>
    </w:r>
    <w:r w:rsidR="009844B0" w:rsidRPr="00E4431B">
      <w:tab/>
    </w:r>
    <w:r w:rsidR="00E4431B" w:rsidRPr="00E4431B">
      <w:rPr>
        <w:b w:val="0"/>
        <w:i/>
        <w:color w:val="C0C0C0"/>
        <w:sz w:val="22"/>
        <w:szCs w:val="22"/>
      </w:rPr>
      <w:t>Združena v raznolikosti</w:t>
    </w:r>
    <w:r w:rsidR="009844B0" w:rsidRPr="00E4431B">
      <w:tab/>
    </w:r>
    <w:r w:rsidRPr="00E4431B">
      <w:fldChar w:fldCharType="begin"/>
    </w:r>
    <w:r w:rsidRPr="00E4431B">
      <w:instrText xml:space="preserve"> DOCPROPERTY "&lt;Extension&gt;" </w:instrText>
    </w:r>
    <w:r w:rsidRPr="00E4431B">
      <w:fldChar w:fldCharType="separate"/>
    </w:r>
    <w:r w:rsidR="00E4431B" w:rsidRPr="00E4431B">
      <w:t>SL</w:t>
    </w:r>
    <w:r w:rsidRPr="00E4431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E0" w:rsidRPr="00E4431B" w:rsidRDefault="00396BE0">
      <w:r w:rsidRPr="00E4431B">
        <w:separator/>
      </w:r>
    </w:p>
    <w:p w:rsidR="00396BE0" w:rsidRPr="00E4431B" w:rsidRDefault="00396BE0"/>
  </w:footnote>
  <w:footnote w:type="continuationSeparator" w:id="0">
    <w:p w:rsidR="00396BE0" w:rsidRPr="00E4431B" w:rsidRDefault="00396BE0">
      <w:r w:rsidRPr="00E4431B">
        <w:continuationSeparator/>
      </w:r>
    </w:p>
    <w:p w:rsidR="00396BE0" w:rsidRPr="00E4431B" w:rsidRDefault="00396BE0"/>
  </w:footnote>
  <w:footnote w:id="1">
    <w:p w:rsidR="00E4431B" w:rsidRPr="00E4431B" w:rsidRDefault="00E4431B" w:rsidP="00E4431B">
      <w:pPr>
        <w:pStyle w:val="FootnoteText"/>
        <w:ind w:left="567" w:hanging="567"/>
        <w:rPr>
          <w:color w:val="000000"/>
          <w:sz w:val="24"/>
          <w:szCs w:val="24"/>
        </w:rPr>
      </w:pPr>
      <w:r w:rsidRPr="00E4431B">
        <w:rPr>
          <w:rStyle w:val="FootnoteReference"/>
          <w:color w:val="000000"/>
          <w:sz w:val="24"/>
          <w:szCs w:val="24"/>
        </w:rPr>
        <w:footnoteRef/>
      </w:r>
      <w:r w:rsidRPr="00E4431B">
        <w:rPr>
          <w:color w:val="000000"/>
          <w:sz w:val="24"/>
          <w:szCs w:val="24"/>
        </w:rPr>
        <w:t xml:space="preserve"> </w:t>
      </w:r>
      <w:r w:rsidRPr="00E4431B">
        <w:rPr>
          <w:color w:val="000000"/>
          <w:sz w:val="24"/>
          <w:szCs w:val="24"/>
        </w:rPr>
        <w:tab/>
        <w:t>Mnenje z dne 26. oktobra 2022 (še ni objavljeno v Uradnem listu).</w:t>
      </w:r>
    </w:p>
  </w:footnote>
  <w:footnote w:id="2">
    <w:p w:rsidR="00E4431B" w:rsidRPr="00E4431B" w:rsidRDefault="00E4431B" w:rsidP="00E4431B">
      <w:pPr>
        <w:pStyle w:val="FootnoteText"/>
        <w:ind w:left="567" w:hanging="567"/>
        <w:rPr>
          <w:color w:val="000000"/>
          <w:sz w:val="24"/>
          <w:szCs w:val="24"/>
        </w:rPr>
      </w:pPr>
      <w:r w:rsidRPr="00E4431B">
        <w:rPr>
          <w:rStyle w:val="FootnoteReference"/>
          <w:color w:val="000000"/>
          <w:sz w:val="24"/>
          <w:szCs w:val="24"/>
        </w:rPr>
        <w:footnoteRef/>
      </w:r>
      <w:r w:rsidRPr="00E4431B">
        <w:rPr>
          <w:rFonts w:eastAsia="Calibri"/>
          <w:color w:val="000000"/>
          <w:sz w:val="24"/>
          <w:szCs w:val="24"/>
        </w:rPr>
        <w:t xml:space="preserve"> </w:t>
      </w:r>
      <w:r w:rsidRPr="00E4431B">
        <w:rPr>
          <w:rFonts w:eastAsia="Calibri"/>
          <w:color w:val="000000"/>
          <w:sz w:val="24"/>
          <w:szCs w:val="24"/>
        </w:rPr>
        <w:tab/>
        <w:t>Stališče Evropskega parlamenta z dne 13. decembra 2022.</w:t>
      </w:r>
    </w:p>
  </w:footnote>
  <w:footnote w:id="3">
    <w:p w:rsidR="00E4431B" w:rsidRPr="00E4431B" w:rsidRDefault="00E4431B" w:rsidP="00E4431B">
      <w:pPr>
        <w:pStyle w:val="FootnoteText"/>
        <w:ind w:left="567" w:hanging="567"/>
        <w:rPr>
          <w:color w:val="000000"/>
          <w:sz w:val="24"/>
          <w:szCs w:val="24"/>
        </w:rPr>
      </w:pPr>
      <w:r w:rsidRPr="00E4431B">
        <w:rPr>
          <w:rStyle w:val="FootnoteReference"/>
          <w:color w:val="000000"/>
          <w:sz w:val="24"/>
          <w:szCs w:val="24"/>
        </w:rPr>
        <w:footnoteRef/>
      </w:r>
      <w:r w:rsidRPr="00E4431B">
        <w:rPr>
          <w:color w:val="000000"/>
          <w:sz w:val="24"/>
          <w:szCs w:val="24"/>
        </w:rPr>
        <w:t xml:space="preserve"> </w:t>
      </w:r>
      <w:r w:rsidRPr="00E4431B">
        <w:rPr>
          <w:color w:val="000000"/>
          <w:sz w:val="24"/>
          <w:szCs w:val="24"/>
        </w:rPr>
        <w:tab/>
        <w:t>UL L 123, 12.5.2016, str. 1.</w:t>
      </w:r>
    </w:p>
  </w:footnote>
  <w:footnote w:id="4">
    <w:p w:rsidR="00E4431B" w:rsidRPr="00E4431B" w:rsidRDefault="00E4431B" w:rsidP="00E4431B">
      <w:pPr>
        <w:pStyle w:val="FootnoteText"/>
        <w:ind w:left="567" w:hanging="567"/>
        <w:rPr>
          <w:color w:val="000000"/>
          <w:sz w:val="24"/>
          <w:szCs w:val="24"/>
        </w:rPr>
      </w:pPr>
      <w:r w:rsidRPr="00E4431B">
        <w:rPr>
          <w:rStyle w:val="FootnoteReference"/>
          <w:color w:val="000000"/>
          <w:sz w:val="24"/>
          <w:szCs w:val="24"/>
        </w:rPr>
        <w:footnoteRef/>
      </w:r>
      <w:r w:rsidRPr="00E4431B">
        <w:rPr>
          <w:color w:val="000000"/>
          <w:sz w:val="24"/>
          <w:szCs w:val="24"/>
        </w:rPr>
        <w:t xml:space="preserve"> </w:t>
      </w:r>
      <w:r w:rsidRPr="00E4431B">
        <w:rPr>
          <w:color w:val="000000"/>
          <w:sz w:val="24"/>
          <w:szCs w:val="24"/>
        </w:rPr>
        <w:tab/>
        <w:t>Uredba Sveta (EGS) št. 1108/70 z dne 4. junija 1970 o uvedbi računovodskega sistema izdatkov za infrastrukturo v železniškem in cestnem prometu ter prometu po celinskih plovnih poteh (UL L 130, 15.6.1970, str. 4).</w:t>
      </w:r>
    </w:p>
  </w:footnote>
  <w:footnote w:id="5">
    <w:p w:rsidR="00E4431B" w:rsidRPr="00E4431B" w:rsidRDefault="00E4431B" w:rsidP="00E4431B">
      <w:pPr>
        <w:pStyle w:val="FootnoteText"/>
        <w:ind w:left="567" w:hanging="567"/>
        <w:rPr>
          <w:color w:val="000000"/>
          <w:sz w:val="24"/>
          <w:szCs w:val="24"/>
        </w:rPr>
      </w:pPr>
      <w:r w:rsidRPr="00E4431B">
        <w:rPr>
          <w:rStyle w:val="FootnoteReference"/>
          <w:color w:val="000000"/>
          <w:sz w:val="24"/>
          <w:szCs w:val="24"/>
        </w:rPr>
        <w:footnoteRef/>
      </w:r>
      <w:r w:rsidRPr="00E4431B">
        <w:rPr>
          <w:color w:val="000000"/>
          <w:sz w:val="24"/>
          <w:szCs w:val="24"/>
        </w:rPr>
        <w:t xml:space="preserve"> </w:t>
      </w:r>
      <w:r w:rsidRPr="00E4431B">
        <w:rPr>
          <w:color w:val="000000"/>
          <w:sz w:val="24"/>
          <w:szCs w:val="24"/>
        </w:rPr>
        <w:tab/>
        <w:t>Uredba Komisije (ES) št. 851/2006 z dne 9. junija 2006 o določitvi vsebine postavk, ki jih je treba vključiti v računovodskih obrazcih iz Priloge I k Uredbi Sveta (EGS) št. 1108/70 (UL L 158, 10.6.2006, str. 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1B" w:rsidRPr="00E4431B" w:rsidRDefault="00E44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1B" w:rsidRPr="00E4431B" w:rsidRDefault="00E44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1B" w:rsidRPr="00E4431B" w:rsidRDefault="00E44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&lt;Model&gt;" w:val="TA_TC"/>
    <w:docVar w:name="Date" w:val="13/12/2022"/>
    <w:docVar w:name="DOCDT" w:val="13/12/2022"/>
    <w:docVar w:name="LastEditedSection" w:val=" 1"/>
    <w:docVar w:name="LVLMNU" w:val="1"/>
    <w:docVar w:name="Num-PE" w:val="704.414v01-00"/>
    <w:docVar w:name="strDocTypeID" w:val="TA_TC"/>
    <w:docVar w:name="strSubDir" w:val="A9-"/>
    <w:docVar w:name="TA_Type" w:val="TA_TC"/>
    <w:docVar w:name="Titre" w:val="sprejeto v prvi obravnavi 13. decembra 2022z namenom sprejetja Uredbe (EU) 2022/... Evropskega parlamenta in Sveta o razveljavitvi Uredbe Sveta (EGS) št. 1108/70 o uvedbi računovodskega sistema izdatkov za infrastrukturo v železniškem in cestnem prometu ter prometu po celinskih plovnih poteh in razveljavitvi Uredbe Komisije (ES) št. 851/2006 o določitvi vsebine postavk v računovodskih obrazcih iz Priloge I k Uredbi Sveta (EGS) št. 1108/70 (EP-PE_TC1-COD(2022)0232)"/>
    <w:docVar w:name="Titre-Type" w:val="STALIŠČE EVROPSKEGA PARLAMENTA"/>
    <w:docVar w:name="TXTLANGUE" w:val="SL"/>
    <w:docVar w:name="TXTLANGUEMIN" w:val="sl"/>
    <w:docVar w:name="TXTNRCOD" w:val="0232"/>
    <w:docVar w:name="TXTNRPE" w:val="704.414v01-00"/>
    <w:docVar w:name="TXTPEorAP" w:val="PE"/>
    <w:docVar w:name="TXTREFSOURCE" w:val="EP-PE_TC1-COD(2022)0232"/>
    <w:docVar w:name="TXTROUTE" w:val="RR\A9-0286/2022SL.docx"/>
    <w:docVar w:name="TXTRULE" w:val="sprejeto v prvi obravnavi 13. decembra 2022z namenom sprejetja Uredbe (EU) 2022/... Evropskega parlamenta in Sveta o razveljavitvi Uredbe Sveta (EGS) št. 1108/70 o uvedbi računovodskega sistema izdatkov za infrastrukturo v železniškem in cestnem prometu ter prometu po celinskih plovnih poteh in razveljavitvi Uredbe Komisije (ES) št. 851/2006 o določitvi vsebine postavk v računovodskih obrazcih iz Priloge I k Uredbi Sveta (EGS) št. 1108/70"/>
    <w:docVar w:name="TXTRULE2" w:val="sprejeto v prvi obravnavi 13. decembra 2022"/>
    <w:docVar w:name="TXTRULE3" w:val="z namenom sprejetja Uredbe (EU) 2022/... Evropskega parlamenta in Sveta o razveljavitvi Uredbe Sveta (EGS) št. 1108/70 o uvedbi računovodskega sistema izdatkov za infrastrukturo v železniškem in cestnem prometu ter prometu po celinskih plovnih poteh in razveljavitvi Uredbe Komisije (ES) št. 851/2006 o določitvi vsebine postavk v računovodskih obrazcih iz Priloge I k Uredbi Sveta (EGS) št. 1108/70"/>
    <w:docVar w:name="TXTYEAR" w:val="2022"/>
  </w:docVars>
  <w:rsids>
    <w:rsidRoot w:val="00396BE0"/>
    <w:rsid w:val="00027017"/>
    <w:rsid w:val="00043BA5"/>
    <w:rsid w:val="000474B0"/>
    <w:rsid w:val="000502A5"/>
    <w:rsid w:val="000756C8"/>
    <w:rsid w:val="0009459A"/>
    <w:rsid w:val="000C620D"/>
    <w:rsid w:val="000E5181"/>
    <w:rsid w:val="000F2FE2"/>
    <w:rsid w:val="00123692"/>
    <w:rsid w:val="001502E1"/>
    <w:rsid w:val="00152E08"/>
    <w:rsid w:val="001A7617"/>
    <w:rsid w:val="002215E8"/>
    <w:rsid w:val="00243603"/>
    <w:rsid w:val="00253BB0"/>
    <w:rsid w:val="002611DA"/>
    <w:rsid w:val="002747B0"/>
    <w:rsid w:val="00287114"/>
    <w:rsid w:val="002A2A21"/>
    <w:rsid w:val="002B02A0"/>
    <w:rsid w:val="002E0D12"/>
    <w:rsid w:val="002E103F"/>
    <w:rsid w:val="003058E0"/>
    <w:rsid w:val="00320173"/>
    <w:rsid w:val="0032447B"/>
    <w:rsid w:val="00330FEA"/>
    <w:rsid w:val="00342886"/>
    <w:rsid w:val="003440CF"/>
    <w:rsid w:val="00376230"/>
    <w:rsid w:val="003813A9"/>
    <w:rsid w:val="003953F6"/>
    <w:rsid w:val="00395B64"/>
    <w:rsid w:val="00396BE0"/>
    <w:rsid w:val="003D3E4D"/>
    <w:rsid w:val="003F247C"/>
    <w:rsid w:val="00407D75"/>
    <w:rsid w:val="004379F2"/>
    <w:rsid w:val="00482700"/>
    <w:rsid w:val="00494D50"/>
    <w:rsid w:val="00523372"/>
    <w:rsid w:val="00580C51"/>
    <w:rsid w:val="005A1111"/>
    <w:rsid w:val="005C4BEC"/>
    <w:rsid w:val="005C637F"/>
    <w:rsid w:val="005E195A"/>
    <w:rsid w:val="005F6117"/>
    <w:rsid w:val="00611C94"/>
    <w:rsid w:val="00612181"/>
    <w:rsid w:val="00624C56"/>
    <w:rsid w:val="00625E53"/>
    <w:rsid w:val="006305F0"/>
    <w:rsid w:val="0065496C"/>
    <w:rsid w:val="006A5C48"/>
    <w:rsid w:val="006D2788"/>
    <w:rsid w:val="006E3857"/>
    <w:rsid w:val="006F4902"/>
    <w:rsid w:val="00733242"/>
    <w:rsid w:val="007567DF"/>
    <w:rsid w:val="007C5179"/>
    <w:rsid w:val="007D1D58"/>
    <w:rsid w:val="007D769C"/>
    <w:rsid w:val="00821B14"/>
    <w:rsid w:val="00830287"/>
    <w:rsid w:val="00846F4F"/>
    <w:rsid w:val="008639EF"/>
    <w:rsid w:val="008C5553"/>
    <w:rsid w:val="008D3F7E"/>
    <w:rsid w:val="008D61B8"/>
    <w:rsid w:val="008D715A"/>
    <w:rsid w:val="008F09C0"/>
    <w:rsid w:val="00910A8D"/>
    <w:rsid w:val="0096592A"/>
    <w:rsid w:val="009844B0"/>
    <w:rsid w:val="009B5D8A"/>
    <w:rsid w:val="00A04F8B"/>
    <w:rsid w:val="00A20422"/>
    <w:rsid w:val="00A3406C"/>
    <w:rsid w:val="00A51CB9"/>
    <w:rsid w:val="00A51D8B"/>
    <w:rsid w:val="00AA1411"/>
    <w:rsid w:val="00AA2401"/>
    <w:rsid w:val="00AA4458"/>
    <w:rsid w:val="00AC3AA6"/>
    <w:rsid w:val="00B1598D"/>
    <w:rsid w:val="00B3321B"/>
    <w:rsid w:val="00B854C4"/>
    <w:rsid w:val="00B86D85"/>
    <w:rsid w:val="00B94A60"/>
    <w:rsid w:val="00BE0112"/>
    <w:rsid w:val="00BE4A46"/>
    <w:rsid w:val="00BE4AC1"/>
    <w:rsid w:val="00C00125"/>
    <w:rsid w:val="00C52FA5"/>
    <w:rsid w:val="00C539FA"/>
    <w:rsid w:val="00CC358E"/>
    <w:rsid w:val="00D06995"/>
    <w:rsid w:val="00D12572"/>
    <w:rsid w:val="00D217F0"/>
    <w:rsid w:val="00D51D39"/>
    <w:rsid w:val="00D5737D"/>
    <w:rsid w:val="00D65CB7"/>
    <w:rsid w:val="00DC49CB"/>
    <w:rsid w:val="00DD1790"/>
    <w:rsid w:val="00DD59A2"/>
    <w:rsid w:val="00DE1919"/>
    <w:rsid w:val="00E0132F"/>
    <w:rsid w:val="00E37826"/>
    <w:rsid w:val="00E4431B"/>
    <w:rsid w:val="00E75238"/>
    <w:rsid w:val="00E91480"/>
    <w:rsid w:val="00ED7C88"/>
    <w:rsid w:val="00EF4EBC"/>
    <w:rsid w:val="00F82DEC"/>
    <w:rsid w:val="00F9322F"/>
    <w:rsid w:val="00F946C8"/>
    <w:rsid w:val="00F97088"/>
    <w:rsid w:val="00FA48DA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E72887-B8D8-431C-8B88-CDDB61BD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95"/>
    <w:pPr>
      <w:widowControl w:val="0"/>
    </w:pPr>
    <w:rPr>
      <w:sz w:val="24"/>
      <w:szCs w:val="24"/>
      <w:lang w:val="sl-SI"/>
    </w:rPr>
  </w:style>
  <w:style w:type="paragraph" w:styleId="Heading1">
    <w:name w:val="heading 1"/>
    <w:basedOn w:val="Normal"/>
    <w:next w:val="Normal"/>
    <w:link w:val="Heading1Char"/>
    <w:semiHidden/>
    <w:qFormat/>
    <w:rsid w:val="00E37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F6117"/>
    <w:pPr>
      <w:tabs>
        <w:tab w:val="center" w:pos="4513"/>
        <w:tab w:val="right" w:pos="9026"/>
      </w:tabs>
    </w:pPr>
  </w:style>
  <w:style w:type="paragraph" w:styleId="BodyTextIndent">
    <w:name w:val="Body Text Indent"/>
    <w:basedOn w:val="Normal"/>
    <w:semiHidden/>
    <w:rsid w:val="00BE4AC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ind w:left="1701"/>
    </w:pPr>
    <w:rPr>
      <w:rFonts w:ascii="Arial" w:hAnsi="Arial"/>
      <w:b/>
      <w:sz w:val="48"/>
      <w:szCs w:val="20"/>
      <w:lang w:val="fr-FR"/>
    </w:rPr>
  </w:style>
  <w:style w:type="character" w:customStyle="1" w:styleId="HideTWBExt">
    <w:name w:val="HideTWBExt"/>
    <w:rsid w:val="00BE4AC1"/>
    <w:rPr>
      <w:rFonts w:ascii="Arial" w:hAnsi="Arial"/>
      <w:noProof/>
      <w:vanish/>
      <w:color w:val="000080"/>
      <w:sz w:val="20"/>
    </w:rPr>
  </w:style>
  <w:style w:type="character" w:customStyle="1" w:styleId="FooterChar">
    <w:name w:val="Footer Char"/>
    <w:basedOn w:val="DefaultParagraphFont"/>
    <w:link w:val="Footer"/>
    <w:semiHidden/>
    <w:rsid w:val="00D06995"/>
    <w:rPr>
      <w:sz w:val="24"/>
      <w:szCs w:val="24"/>
    </w:rPr>
  </w:style>
  <w:style w:type="table" w:styleId="TableGrid">
    <w:name w:val="Table Grid"/>
    <w:basedOn w:val="TableNormal"/>
    <w:rsid w:val="00BE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CC358E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BE4AC1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330FE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character" w:customStyle="1" w:styleId="HideTWBInt">
    <w:name w:val="HideTWBInt"/>
    <w:rsid w:val="00D06995"/>
    <w:rPr>
      <w:rFonts w:ascii="Arial" w:hAnsi="Arial" w:cs="Arial"/>
      <w:vanish/>
      <w:color w:val="808080"/>
      <w:sz w:val="20"/>
    </w:rPr>
  </w:style>
  <w:style w:type="paragraph" w:customStyle="1" w:styleId="CoverDocType">
    <w:name w:val="CoverDocType"/>
    <w:basedOn w:val="Normal"/>
    <w:rsid w:val="00BE0112"/>
    <w:pPr>
      <w:ind w:left="1418"/>
    </w:pPr>
    <w:rPr>
      <w:rFonts w:ascii="Arial" w:hAnsi="Arial"/>
      <w:b/>
      <w:bCs/>
      <w:sz w:val="48"/>
    </w:rPr>
  </w:style>
  <w:style w:type="paragraph" w:customStyle="1" w:styleId="EPFooter2">
    <w:name w:val="EPFooter2"/>
    <w:basedOn w:val="Normal"/>
    <w:next w:val="Normal"/>
    <w:rsid w:val="00CC358E"/>
    <w:pPr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  <w:szCs w:val="20"/>
    </w:rPr>
  </w:style>
  <w:style w:type="character" w:styleId="PageNumber">
    <w:name w:val="page number"/>
    <w:basedOn w:val="DefaultParagraphFont"/>
    <w:semiHidden/>
    <w:rsid w:val="00BE4AC1"/>
  </w:style>
  <w:style w:type="paragraph" w:styleId="Header">
    <w:name w:val="header"/>
    <w:basedOn w:val="Normal"/>
    <w:link w:val="HeaderChar"/>
    <w:semiHidden/>
    <w:rsid w:val="00A340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BE0112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305F0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BE0112"/>
  </w:style>
  <w:style w:type="character" w:styleId="EndnoteReference">
    <w:name w:val="endnote reference"/>
    <w:semiHidden/>
    <w:rsid w:val="006305F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05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637F"/>
  </w:style>
  <w:style w:type="character" w:styleId="FootnoteReference">
    <w:name w:val="footnote reference"/>
    <w:semiHidden/>
    <w:rsid w:val="006305F0"/>
    <w:rPr>
      <w:vertAlign w:val="superscript"/>
    </w:rPr>
  </w:style>
  <w:style w:type="paragraph" w:customStyle="1" w:styleId="EPName">
    <w:name w:val="EPName"/>
    <w:basedOn w:val="Normal"/>
    <w:rsid w:val="00580C51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580C51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80C51"/>
    <w:pPr>
      <w:jc w:val="right"/>
    </w:pPr>
    <w:rPr>
      <w:szCs w:val="20"/>
    </w:rPr>
  </w:style>
  <w:style w:type="paragraph" w:customStyle="1" w:styleId="CoverDocType24a">
    <w:name w:val="CoverDocType24a"/>
    <w:basedOn w:val="Normal"/>
    <w:rsid w:val="00BE0112"/>
    <w:pPr>
      <w:spacing w:after="480"/>
      <w:ind w:left="1418"/>
    </w:pPr>
    <w:rPr>
      <w:rFonts w:ascii="Arial" w:hAnsi="Arial"/>
      <w:b/>
      <w:bCs/>
      <w:sz w:val="48"/>
    </w:rPr>
  </w:style>
  <w:style w:type="paragraph" w:customStyle="1" w:styleId="CoverNormal">
    <w:name w:val="CoverNormal"/>
    <w:basedOn w:val="Normal"/>
    <w:rsid w:val="00BE0112"/>
    <w:pPr>
      <w:ind w:left="1418"/>
    </w:pPr>
  </w:style>
  <w:style w:type="paragraph" w:customStyle="1" w:styleId="EPFooter">
    <w:name w:val="EPFooter"/>
    <w:basedOn w:val="Normal"/>
    <w:rsid w:val="005F6117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ing1Char">
    <w:name w:val="Heading 1 Char"/>
    <w:basedOn w:val="DefaultParagraphFont"/>
    <w:link w:val="Heading1"/>
    <w:semiHidden/>
    <w:rsid w:val="00E37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37826"/>
    <w:pPr>
      <w:spacing w:after="240"/>
    </w:pPr>
  </w:style>
  <w:style w:type="paragraph" w:customStyle="1" w:styleId="CoverReference">
    <w:name w:val="CoverReference"/>
    <w:basedOn w:val="Normal"/>
    <w:rsid w:val="00D06995"/>
    <w:pPr>
      <w:spacing w:before="1080"/>
      <w:jc w:val="right"/>
    </w:pPr>
    <w:rPr>
      <w:rFonts w:ascii="Arial" w:hAnsi="Arial" w:cs="Arial"/>
      <w:b/>
      <w:szCs w:val="20"/>
    </w:rPr>
  </w:style>
  <w:style w:type="paragraph" w:customStyle="1" w:styleId="CoverDate">
    <w:name w:val="CoverDate"/>
    <w:basedOn w:val="Normal"/>
    <w:rsid w:val="00D06995"/>
    <w:pPr>
      <w:spacing w:before="240" w:after="1200"/>
    </w:pPr>
    <w:rPr>
      <w:szCs w:val="20"/>
    </w:rPr>
  </w:style>
  <w:style w:type="paragraph" w:customStyle="1" w:styleId="HeadingCenter24a">
    <w:name w:val="HeadingCenter24a"/>
    <w:basedOn w:val="Normal"/>
    <w:rsid w:val="008D715A"/>
    <w:pPr>
      <w:spacing w:after="4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39E6-57F4-4447-8C70-33C1DED1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GOROPECNIK Tina</dc:creator>
  <cp:keywords/>
  <cp:lastModifiedBy>Marija LUKSITE</cp:lastModifiedBy>
  <cp:revision>3</cp:revision>
  <dcterms:created xsi:type="dcterms:W3CDTF">2022-12-14T11:51:00Z</dcterms:created>
  <dcterms:modified xsi:type="dcterms:W3CDTF">2023-01-24T14:01:00Z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SL</vt:lpwstr>
  </property>
  <property fmtid="{D5CDD505-2E9C-101B-9397-08002B2CF9AE}" pid="3" name="&lt;Model&gt;">
    <vt:lpwstr>TA_TC</vt:lpwstr>
  </property>
  <property fmtid="{D5CDD505-2E9C-101B-9397-08002B2CF9AE}" pid="4" name="&lt;Type&gt;">
    <vt:lpwstr>RR</vt:lpwstr>
  </property>
  <property fmtid="{D5CDD505-2E9C-101B-9397-08002B2CF9AE}" pid="5" name="PE number">
    <vt:lpwstr>704.414v01-00</vt:lpwstr>
  </property>
  <property fmtid="{D5CDD505-2E9C-101B-9397-08002B2CF9AE}" pid="6" name="Created with">
    <vt:lpwstr>9.14.0 Build [20221101]</vt:lpwstr>
  </property>
  <property fmtid="{D5CDD505-2E9C-101B-9397-08002B2CF9AE}" pid="7" name="LastEdited with">
    <vt:lpwstr>9.14.0 Build [20221101]</vt:lpwstr>
  </property>
  <property fmtid="{D5CDD505-2E9C-101B-9397-08002B2CF9AE}" pid="8" name="&lt;FdR&gt;">
    <vt:lpwstr>A9-0286/2022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RR\A9-0286/2022SL.docx</vt:lpwstr>
  </property>
</Properties>
</file>