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52603" w:rsidRPr="008F6B7A" w:rsidTr="00C85D0F">
        <w:trPr>
          <w:trHeight w:hRule="exact" w:val="1418"/>
        </w:trPr>
        <w:tc>
          <w:tcPr>
            <w:tcW w:w="6804" w:type="dxa"/>
            <w:shd w:val="clear" w:color="auto" w:fill="auto"/>
            <w:vAlign w:val="center"/>
          </w:tcPr>
          <w:p w:rsidR="00E4751A" w:rsidRPr="008F6B7A" w:rsidRDefault="000565EC" w:rsidP="00C85D0F">
            <w:pPr>
              <w:pStyle w:val="EPName"/>
            </w:pPr>
            <w:r w:rsidRPr="008F6B7A">
              <w:t>Európai Parlament</w:t>
            </w:r>
          </w:p>
          <w:p w:rsidR="00E4751A" w:rsidRPr="008F6B7A" w:rsidRDefault="000565EC" w:rsidP="00486498">
            <w:pPr>
              <w:pStyle w:val="EPTerm"/>
            </w:pPr>
            <w:r w:rsidRPr="008F6B7A">
              <w:t>2019-2024</w:t>
            </w:r>
          </w:p>
        </w:tc>
        <w:tc>
          <w:tcPr>
            <w:tcW w:w="2268" w:type="dxa"/>
            <w:shd w:val="clear" w:color="auto" w:fill="auto"/>
          </w:tcPr>
          <w:p w:rsidR="00E4751A" w:rsidRPr="008F6B7A" w:rsidRDefault="000565EC" w:rsidP="00C85D0F">
            <w:pPr>
              <w:pStyle w:val="EPLogo"/>
            </w:pPr>
            <w:r w:rsidRPr="008F6B7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01642"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856B6" w:rsidRPr="008F6B7A" w:rsidRDefault="000856B6" w:rsidP="000856B6">
      <w:pPr>
        <w:pStyle w:val="LineTop"/>
      </w:pPr>
    </w:p>
    <w:p w:rsidR="000856B6" w:rsidRPr="008F6B7A" w:rsidRDefault="000565EC" w:rsidP="000856B6">
      <w:pPr>
        <w:pStyle w:val="EPBody"/>
      </w:pPr>
      <w:r w:rsidRPr="008F6B7A">
        <w:rPr>
          <w:rStyle w:val="HideTWBExt"/>
          <w:noProof w:val="0"/>
        </w:rPr>
        <w:t>&lt;</w:t>
      </w:r>
      <w:r w:rsidRPr="008F6B7A">
        <w:rPr>
          <w:rStyle w:val="HideTWBExt"/>
          <w:i w:val="0"/>
          <w:noProof w:val="0"/>
        </w:rPr>
        <w:t>Commission</w:t>
      </w:r>
      <w:r w:rsidRPr="008F6B7A">
        <w:rPr>
          <w:rStyle w:val="HideTWBExt"/>
          <w:noProof w:val="0"/>
        </w:rPr>
        <w:t>&gt;</w:t>
      </w:r>
      <w:r w:rsidRPr="008F6B7A">
        <w:rPr>
          <w:rStyle w:val="HideTWBInt"/>
          <w:color w:val="auto"/>
        </w:rPr>
        <w:t>{TRAN}</w:t>
      </w:r>
      <w:r w:rsidRPr="008F6B7A">
        <w:t>Közlekedési és Idegenforgalmi Bizottság</w:t>
      </w:r>
      <w:r w:rsidRPr="008F6B7A">
        <w:rPr>
          <w:rStyle w:val="HideTWBExt"/>
          <w:noProof w:val="0"/>
        </w:rPr>
        <w:t>&lt;/</w:t>
      </w:r>
      <w:r w:rsidRPr="008F6B7A">
        <w:rPr>
          <w:rStyle w:val="HideTWBExt"/>
          <w:i w:val="0"/>
          <w:noProof w:val="0"/>
        </w:rPr>
        <w:t>Commission</w:t>
      </w:r>
      <w:r w:rsidRPr="008F6B7A">
        <w:rPr>
          <w:rStyle w:val="HideTWBExt"/>
          <w:noProof w:val="0"/>
        </w:rPr>
        <w:t>&gt;</w:t>
      </w:r>
    </w:p>
    <w:p w:rsidR="000856B6" w:rsidRPr="008F6B7A" w:rsidRDefault="000856B6" w:rsidP="000856B6">
      <w:pPr>
        <w:pStyle w:val="LineBottom"/>
      </w:pPr>
    </w:p>
    <w:p w:rsidR="00D6787A" w:rsidRPr="008F6B7A" w:rsidRDefault="000565EC" w:rsidP="00D6787A">
      <w:pPr>
        <w:pStyle w:val="CoverReference"/>
      </w:pPr>
      <w:r w:rsidRPr="008F6B7A">
        <w:rPr>
          <w:rStyle w:val="HideTWBExt"/>
          <w:b w:val="0"/>
          <w:noProof w:val="0"/>
        </w:rPr>
        <w:t>&lt;RefProc&gt;</w:t>
      </w:r>
      <w:r w:rsidRPr="008F6B7A">
        <w:t>2020/2013</w:t>
      </w:r>
      <w:r w:rsidRPr="008F6B7A">
        <w:rPr>
          <w:rStyle w:val="HideTWBExt"/>
          <w:b w:val="0"/>
          <w:noProof w:val="0"/>
        </w:rPr>
        <w:t>&lt;/RefProc&gt;&lt;RefTypeProc&gt;</w:t>
      </w:r>
      <w:r w:rsidRPr="008F6B7A">
        <w:t>(INI)</w:t>
      </w:r>
      <w:r w:rsidRPr="008F6B7A">
        <w:rPr>
          <w:rStyle w:val="HideTWBExt"/>
          <w:b w:val="0"/>
          <w:noProof w:val="0"/>
        </w:rPr>
        <w:t>&lt;/RefTypeProc&gt;</w:t>
      </w:r>
    </w:p>
    <w:p w:rsidR="00D6787A" w:rsidRPr="008F6B7A" w:rsidRDefault="000565EC" w:rsidP="00D6787A">
      <w:pPr>
        <w:pStyle w:val="CoverDate"/>
      </w:pPr>
      <w:r w:rsidRPr="008F6B7A">
        <w:rPr>
          <w:rStyle w:val="HideTWBExt"/>
          <w:noProof w:val="0"/>
        </w:rPr>
        <w:t>&lt;Date&gt;</w:t>
      </w:r>
      <w:r w:rsidRPr="008F6B7A">
        <w:rPr>
          <w:rStyle w:val="HideTWBInt"/>
          <w:color w:val="auto"/>
        </w:rPr>
        <w:t>{05/06/2020}</w:t>
      </w:r>
      <w:r w:rsidRPr="008F6B7A">
        <w:t>5.6.2020</w:t>
      </w:r>
      <w:r w:rsidRPr="008F6B7A">
        <w:rPr>
          <w:rStyle w:val="HideTWBExt"/>
          <w:noProof w:val="0"/>
        </w:rPr>
        <w:t>&lt;/Date&gt;</w:t>
      </w:r>
    </w:p>
    <w:p w:rsidR="00860E96" w:rsidRPr="008F6B7A" w:rsidRDefault="000565EC" w:rsidP="00860E96">
      <w:pPr>
        <w:pStyle w:val="CoverDocType"/>
      </w:pPr>
      <w:bookmarkStart w:id="0" w:name="_GoBack"/>
      <w:bookmarkEnd w:id="0"/>
      <w:r w:rsidRPr="008F6B7A">
        <w:rPr>
          <w:rStyle w:val="HideTWBExt"/>
          <w:b w:val="0"/>
          <w:noProof w:val="0"/>
        </w:rPr>
        <w:t>&lt;TypeAM&gt;</w:t>
      </w:r>
      <w:r w:rsidRPr="008F6B7A">
        <w:t>MÓDOSÍTÁS:</w:t>
      </w:r>
      <w:r w:rsidRPr="008F6B7A">
        <w:rPr>
          <w:rStyle w:val="HideTWBExt"/>
          <w:b w:val="0"/>
          <w:noProof w:val="0"/>
        </w:rPr>
        <w:t>&lt;/TypeAM&gt;</w:t>
      </w:r>
    </w:p>
    <w:p w:rsidR="00D6787A" w:rsidRPr="008F6B7A" w:rsidRDefault="000565EC" w:rsidP="00D6787A">
      <w:pPr>
        <w:pStyle w:val="CoverDocType24a"/>
      </w:pPr>
      <w:r w:rsidRPr="008F6B7A">
        <w:rPr>
          <w:rStyle w:val="HideTWBExt"/>
          <w:b w:val="0"/>
          <w:noProof w:val="0"/>
        </w:rPr>
        <w:t>&lt;RangeAM&gt;</w:t>
      </w:r>
      <w:r w:rsidRPr="008F6B7A">
        <w:t>1 - 54</w:t>
      </w:r>
      <w:r w:rsidRPr="008F6B7A">
        <w:rPr>
          <w:rStyle w:val="HideTWBExt"/>
          <w:b w:val="0"/>
          <w:noProof w:val="0"/>
        </w:rPr>
        <w:t>&lt;/RangeAM&gt;</w:t>
      </w:r>
    </w:p>
    <w:p w:rsidR="00D6787A" w:rsidRPr="008F6B7A" w:rsidRDefault="000565EC" w:rsidP="00EF70AC">
      <w:pPr>
        <w:pStyle w:val="CoverBold"/>
      </w:pPr>
      <w:r w:rsidRPr="008F6B7A">
        <w:rPr>
          <w:rStyle w:val="HideTWBExt"/>
          <w:b w:val="0"/>
          <w:noProof w:val="0"/>
        </w:rPr>
        <w:t>&lt;</w:t>
      </w:r>
      <w:r w:rsidRPr="008F6B7A">
        <w:rPr>
          <w:rStyle w:val="HideTWBExt"/>
          <w:b w:val="0"/>
          <w:noProof w:val="0"/>
        </w:rPr>
        <w:t>TitreType&gt;</w:t>
      </w:r>
      <w:r w:rsidRPr="008F6B7A">
        <w:t>Véleménytervezet</w:t>
      </w:r>
      <w:r w:rsidRPr="008F6B7A">
        <w:rPr>
          <w:rStyle w:val="HideTWBExt"/>
          <w:b w:val="0"/>
          <w:noProof w:val="0"/>
        </w:rPr>
        <w:t>&lt;/TitreType&gt;</w:t>
      </w:r>
    </w:p>
    <w:p w:rsidR="00D6787A" w:rsidRPr="008F6B7A" w:rsidRDefault="000565EC" w:rsidP="00EF70AC">
      <w:pPr>
        <w:pStyle w:val="CoverBold"/>
      </w:pPr>
      <w:r w:rsidRPr="008F6B7A">
        <w:rPr>
          <w:rStyle w:val="HideTWBExt"/>
          <w:b w:val="0"/>
          <w:noProof w:val="0"/>
        </w:rPr>
        <w:t>&lt;Rapporteur&gt;</w:t>
      </w:r>
      <w:r w:rsidRPr="008F6B7A">
        <w:t>Ondřej Kovařík</w:t>
      </w:r>
      <w:r w:rsidRPr="008F6B7A">
        <w:rPr>
          <w:rStyle w:val="HideTWBExt"/>
          <w:b w:val="0"/>
          <w:noProof w:val="0"/>
        </w:rPr>
        <w:t>&lt;/Rapporteur&gt;</w:t>
      </w:r>
    </w:p>
    <w:p w:rsidR="00390616" w:rsidRPr="008F6B7A" w:rsidRDefault="000565EC" w:rsidP="00390616">
      <w:pPr>
        <w:pStyle w:val="CoverNormal24a"/>
      </w:pPr>
      <w:r w:rsidRPr="008F6B7A">
        <w:rPr>
          <w:rStyle w:val="HideTWBExt"/>
          <w:noProof w:val="0"/>
        </w:rPr>
        <w:t>&lt;DocRefPE&gt;</w:t>
      </w:r>
      <w:r w:rsidRPr="008F6B7A">
        <w:t>(PE646.912v01-00)</w:t>
      </w:r>
      <w:r w:rsidRPr="008F6B7A">
        <w:rPr>
          <w:rStyle w:val="HideTWBExt"/>
          <w:noProof w:val="0"/>
        </w:rPr>
        <w:t>&lt;/DocRefPE&gt;</w:t>
      </w:r>
    </w:p>
    <w:p w:rsidR="00D6787A" w:rsidRPr="008F6B7A" w:rsidRDefault="000565EC" w:rsidP="00D6787A">
      <w:pPr>
        <w:pStyle w:val="CoverNormal"/>
      </w:pPr>
      <w:r w:rsidRPr="008F6B7A">
        <w:rPr>
          <w:rStyle w:val="HideTWBExt"/>
          <w:noProof w:val="0"/>
        </w:rPr>
        <w:t>&lt;Titre&gt;</w:t>
      </w:r>
      <w:r w:rsidRPr="008F6B7A">
        <w:t xml:space="preserve">Mesterséges intelligencia: az állami hatóságok szerepét, valamint az MI polgári és katonai felhasználása területén az EU-ra </w:t>
      </w:r>
      <w:r w:rsidRPr="008F6B7A">
        <w:t>vonatkozó nemzetközi jog értelmezését és alkalmazását érintő kérdések, a büntető igazságszolgáltatás hatályán kívül</w:t>
      </w:r>
      <w:r w:rsidRPr="008F6B7A">
        <w:rPr>
          <w:rStyle w:val="HideTWBExt"/>
          <w:noProof w:val="0"/>
        </w:rPr>
        <w:t>&lt;/Titre&gt;</w:t>
      </w:r>
    </w:p>
    <w:p w:rsidR="00D6787A" w:rsidRPr="008F6B7A" w:rsidRDefault="000565EC" w:rsidP="00D6787A">
      <w:pPr>
        <w:pStyle w:val="CoverNormal24a"/>
      </w:pPr>
      <w:r w:rsidRPr="008F6B7A">
        <w:rPr>
          <w:rStyle w:val="HideTWBExt"/>
          <w:noProof w:val="0"/>
        </w:rPr>
        <w:t>&lt;DocRef&gt;</w:t>
      </w:r>
      <w:r w:rsidRPr="008F6B7A">
        <w:t>(2020/2013(INI))</w:t>
      </w:r>
      <w:r w:rsidRPr="008F6B7A">
        <w:rPr>
          <w:rStyle w:val="HideTWBExt"/>
          <w:noProof w:val="0"/>
        </w:rPr>
        <w:t>&lt;/DocRef&gt;</w:t>
      </w:r>
    </w:p>
    <w:p w:rsidR="00D6787A" w:rsidRPr="008F6B7A" w:rsidRDefault="000565EC" w:rsidP="00A818D8">
      <w:pPr>
        <w:widowControl/>
        <w:tabs>
          <w:tab w:val="center" w:pos="4677"/>
        </w:tabs>
      </w:pPr>
      <w:r w:rsidRPr="008F6B7A">
        <w:br w:type="page"/>
      </w:r>
      <w:r w:rsidRPr="008F6B7A">
        <w:lastRenderedPageBreak/>
        <w:t>AM_Com_NonLegOpinion</w:t>
      </w:r>
    </w:p>
    <w:p w:rsidR="00060590" w:rsidRPr="008F6B7A" w:rsidRDefault="000565EC" w:rsidP="00060590">
      <w:pPr>
        <w:pStyle w:val="AMNumberTabs0"/>
        <w:keepNext/>
      </w:pPr>
      <w:r w:rsidRPr="008F6B7A">
        <w:br w:type="page"/>
      </w:r>
      <w:r w:rsidRPr="008F6B7A">
        <w:rPr>
          <w:rStyle w:val="HideTWBExt"/>
          <w:b w:val="0"/>
          <w:noProof w:val="0"/>
        </w:rPr>
        <w:lastRenderedPageBreak/>
        <w:t>&lt;RepeatBlock-Amend&gt;&lt;Amend&gt;</w:t>
      </w:r>
      <w:r w:rsidRPr="008F6B7A">
        <w:t>Módosítás</w:t>
      </w:r>
      <w:r w:rsidRPr="008F6B7A">
        <w:tab/>
      </w:r>
      <w:r w:rsidRPr="008F6B7A">
        <w:tab/>
      </w:r>
      <w:r w:rsidRPr="008F6B7A">
        <w:rPr>
          <w:rStyle w:val="HideTWBExt"/>
          <w:b w:val="0"/>
          <w:noProof w:val="0"/>
        </w:rPr>
        <w:t>&lt;NumAm&gt;</w:t>
      </w:r>
      <w:r w:rsidRPr="008F6B7A">
        <w:t>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w:t>
      </w:r>
      <w:r w:rsidRPr="008F6B7A">
        <w:rPr>
          <w:rStyle w:val="HideTWBExt"/>
          <w:b w:val="0"/>
          <w:noProof w:val="0"/>
        </w:rPr>
        <w:t>Members&gt;</w:t>
      </w:r>
      <w:r w:rsidRPr="008F6B7A">
        <w:t>Ondřej Kovařík, Elsi Katainen, Caroline Nagtegaal,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 preambulumbekezdés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 xml:space="preserve">A. mivel a mesterséges </w:t>
            </w:r>
            <w:r w:rsidRPr="008F6B7A">
              <w:rPr>
                <w:b/>
                <w:i/>
              </w:rPr>
              <w:t>intelligencia példa nélküli lehetőségeket kínál a közlekedési ágazat teljesítményének javítására azáltal, hogy kezeli a növekvő utazási kereslet, a biztonsági és környezetvédelmi aggályok jelentette kihívásokat, miközben intelligensebbé, hatékonyabbá és ké</w:t>
            </w:r>
            <w:r w:rsidRPr="008F6B7A">
              <w:rPr>
                <w:b/>
                <w:i/>
              </w:rPr>
              <w:t>nyelmesebbé teszi az összes közlekedési módot;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Kateřina Konečná</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 bekezdés~</w:t>
      </w:r>
      <w:r w:rsidRPr="008F6B7A">
        <w:rPr>
          <w:rStyle w:val="HideTWBExt"/>
          <w:b w:val="0"/>
          <w:noProof w:val="0"/>
        </w:rPr>
        <w:t>&lt;/Ar</w:t>
      </w:r>
      <w:r w:rsidRPr="008F6B7A">
        <w:rPr>
          <w:rStyle w:val="HideTWBExt"/>
          <w:b w:val="0"/>
          <w:noProof w:val="0"/>
        </w:rPr>
        <w:t>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w:t>
            </w:r>
            <w:r w:rsidRPr="008F6B7A">
              <w:tab/>
              <w:t xml:space="preserve">üdvözli a Bizottság MI-ről szóló fehér könyvét, és támogatja az EU arra irányuló ambícióját, hogy az MI területén a világ egyik vezető tényezőjévé váljon, ugyanakkor erősítve együttműködését a hasonló törekvésű </w:t>
            </w:r>
            <w:r w:rsidRPr="008F6B7A">
              <w:t>szereplőkkel;</w:t>
            </w:r>
          </w:p>
        </w:tc>
        <w:tc>
          <w:tcPr>
            <w:tcW w:w="4876" w:type="dxa"/>
            <w:hideMark/>
          </w:tcPr>
          <w:p w:rsidR="00060590" w:rsidRPr="008F6B7A" w:rsidRDefault="000565EC" w:rsidP="00073109">
            <w:pPr>
              <w:pStyle w:val="Normal6"/>
              <w:rPr>
                <w:szCs w:val="24"/>
              </w:rPr>
            </w:pPr>
            <w:r w:rsidRPr="008F6B7A">
              <w:t>1.</w:t>
            </w:r>
            <w:r w:rsidRPr="008F6B7A">
              <w:tab/>
              <w:t xml:space="preserve">üdvözli a Bizottság MI-ről szóló fehér könyvét, és támogatja az EU arra irányuló ambícióját, hogy az MI területén a világ egyik vezető tényezőjévé váljon, ugyanakkor erősítve együttműködését a hasonló törekvésű szereplőkkel; </w:t>
            </w:r>
            <w:r w:rsidRPr="008F6B7A">
              <w:rPr>
                <w:b/>
                <w:i/>
              </w:rPr>
              <w:t xml:space="preserve">kiemeli a </w:t>
            </w:r>
            <w:r w:rsidRPr="008F6B7A">
              <w:rPr>
                <w:b/>
                <w:i/>
              </w:rPr>
              <w:t>fehér könyv egyik legfontosabb megállapítását – a mesterségesintelligencia-rendszereknek bővíteniük kell az emberek lehetőségeit, és minden ember javát kell szolgálniuk;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w:t>
      </w:r>
      <w:r w:rsidRPr="008F6B7A">
        <w:rPr>
          <w:rStyle w:val="HideTWBExt"/>
          <w:b w:val="0"/>
          <w:noProof w:val="0"/>
        </w:rPr>
        <w:t>ock-By&gt;&lt;Members&gt;</w:t>
      </w:r>
      <w:r w:rsidRPr="008F6B7A">
        <w:t>Henna Virkkunen, Elissavet 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w:t>
            </w:r>
            <w:r w:rsidRPr="008F6B7A">
              <w:tab/>
              <w:t xml:space="preserve">üdvözli a Bizottság MI-ről </w:t>
            </w:r>
            <w:r w:rsidRPr="008F6B7A">
              <w:t>szóló fehér könyvét, és támogatja az EU arra irányuló ambícióját, hogy az MI területén a világ egyik vezető tényezőjévé váljon, ugyanakkor erősítve együttműködését a hasonló törekvésű szereplőkkel;</w:t>
            </w:r>
          </w:p>
        </w:tc>
        <w:tc>
          <w:tcPr>
            <w:tcW w:w="4876" w:type="dxa"/>
            <w:hideMark/>
          </w:tcPr>
          <w:p w:rsidR="00060590" w:rsidRPr="008F6B7A" w:rsidRDefault="000565EC" w:rsidP="007C4967">
            <w:pPr>
              <w:pStyle w:val="Normal6"/>
              <w:rPr>
                <w:szCs w:val="24"/>
              </w:rPr>
            </w:pPr>
            <w:r w:rsidRPr="008F6B7A">
              <w:t>1.</w:t>
            </w:r>
            <w:r w:rsidRPr="008F6B7A">
              <w:tab/>
              <w:t>üdvözli a Bizottság MI-ről szóló fehér könyvét, és támo</w:t>
            </w:r>
            <w:r w:rsidRPr="008F6B7A">
              <w:t xml:space="preserve">gatja az EU arra irányuló ambícióját, hogy az MI területén a világ egyik vezető tényezőjévé váljon, ugyanakkor erősítve együttműködését a hasonló törekvésű szereplőkkel; </w:t>
            </w:r>
            <w:r w:rsidRPr="008F6B7A">
              <w:rPr>
                <w:b/>
                <w:i/>
              </w:rPr>
              <w:t>megjegyzi, hogy a mesterséges intelligenciának a védelem területén való megvalósításár</w:t>
            </w:r>
            <w:r w:rsidRPr="008F6B7A">
              <w:rPr>
                <w:b/>
                <w:i/>
              </w:rPr>
              <w:t>a vonatkozó európai szintű együttműködés elengedhetetlen az európai képességek fejlesztéséhez;</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2.</w:t>
            </w:r>
            <w:r w:rsidRPr="008F6B7A">
              <w:tab/>
            </w:r>
            <w:r w:rsidRPr="008F6B7A">
              <w:rPr>
                <w:b/>
                <w:i/>
              </w:rPr>
              <w:t>hangsúlyozza, hogy</w:t>
            </w:r>
            <w:r w:rsidRPr="008F6B7A">
              <w:t xml:space="preserve"> az </w:t>
            </w:r>
            <w:r w:rsidRPr="008F6B7A">
              <w:rPr>
                <w:b/>
                <w:i/>
              </w:rPr>
              <w:t>EU-nak az MI terén</w:t>
            </w:r>
            <w:r w:rsidRPr="008F6B7A">
              <w:t xml:space="preserve"> globális </w:t>
            </w:r>
            <w:r w:rsidRPr="008F6B7A">
              <w:rPr>
                <w:b/>
                <w:i/>
              </w:rPr>
              <w:t>normatív szereplőként kell fellépnie</w:t>
            </w:r>
            <w:r w:rsidRPr="008F6B7A">
              <w:t xml:space="preserve"> a polgári és katonai </w:t>
            </w:r>
            <w:r w:rsidRPr="008F6B7A">
              <w:rPr>
                <w:b/>
                <w:i/>
              </w:rPr>
              <w:t>felhasználást</w:t>
            </w:r>
            <w:r w:rsidRPr="008F6B7A">
              <w:t xml:space="preserve">, valamint az állami </w:t>
            </w:r>
            <w:r w:rsidRPr="008F6B7A">
              <w:rPr>
                <w:b/>
                <w:i/>
              </w:rPr>
              <w:t>szerepvállalást</w:t>
            </w:r>
            <w:r w:rsidRPr="008F6B7A">
              <w:t xml:space="preserve"> illetőe</w:t>
            </w:r>
            <w:r w:rsidRPr="008F6B7A">
              <w:t>n</w:t>
            </w:r>
            <w:r w:rsidRPr="008F6B7A">
              <w:rPr>
                <w:b/>
                <w:i/>
              </w:rPr>
              <w:t>, és hatékony stratégiával kell rendelkeznie ahhoz, hogy erősítse befolyását</w:t>
            </w:r>
            <w:r w:rsidRPr="008F6B7A">
              <w:t xml:space="preserve"> a globális szabványok </w:t>
            </w:r>
            <w:r w:rsidRPr="008F6B7A">
              <w:rPr>
                <w:b/>
                <w:i/>
              </w:rPr>
              <w:t>kialakítása tekintetében;</w:t>
            </w:r>
            <w:r w:rsidRPr="008F6B7A">
              <w:t xml:space="preserve"> </w:t>
            </w:r>
            <w:r w:rsidRPr="008F6B7A">
              <w:rPr>
                <w:b/>
                <w:i/>
              </w:rPr>
              <w:t>felhívja a Bizottságot</w:t>
            </w:r>
            <w:r w:rsidRPr="008F6B7A">
              <w:t xml:space="preserve"> és </w:t>
            </w:r>
            <w:r w:rsidRPr="008F6B7A">
              <w:rPr>
                <w:b/>
                <w:i/>
              </w:rPr>
              <w:t>a tagállamokat, hogy az MI uniós megközelítésének előmozdítása érdekében lépjenek fel</w:t>
            </w:r>
            <w:r w:rsidRPr="008F6B7A">
              <w:t xml:space="preserve"> a </w:t>
            </w:r>
            <w:r w:rsidRPr="008F6B7A">
              <w:rPr>
                <w:b/>
                <w:i/>
              </w:rPr>
              <w:t>szélesebb körű e</w:t>
            </w:r>
            <w:r w:rsidRPr="008F6B7A">
              <w:rPr>
                <w:b/>
                <w:i/>
              </w:rPr>
              <w:t>gyüttműködés mellett</w:t>
            </w:r>
            <w:r w:rsidRPr="008F6B7A">
              <w:t xml:space="preserve"> az </w:t>
            </w:r>
            <w:r w:rsidRPr="008F6B7A">
              <w:rPr>
                <w:b/>
                <w:i/>
              </w:rPr>
              <w:t>ENSZ-ben</w:t>
            </w:r>
            <w:r w:rsidRPr="008F6B7A">
              <w:t xml:space="preserve">, az </w:t>
            </w:r>
            <w:r w:rsidRPr="008F6B7A">
              <w:rPr>
                <w:b/>
                <w:i/>
              </w:rPr>
              <w:t>OECD-ben</w:t>
            </w:r>
            <w:r w:rsidRPr="008F6B7A">
              <w:t>, a G7</w:t>
            </w:r>
            <w:r w:rsidRPr="008F6B7A">
              <w:rPr>
                <w:b/>
                <w:i/>
              </w:rPr>
              <w:t>- és</w:t>
            </w:r>
            <w:r w:rsidRPr="008F6B7A">
              <w:t xml:space="preserve"> a G20</w:t>
            </w:r>
            <w:r w:rsidRPr="008F6B7A">
              <w:rPr>
                <w:b/>
                <w:i/>
              </w:rPr>
              <w:t>-csoportban, valamint</w:t>
            </w:r>
            <w:r w:rsidRPr="008F6B7A">
              <w:t xml:space="preserve"> más nemzetközi fórumokon</w:t>
            </w:r>
            <w:r w:rsidRPr="008F6B7A">
              <w:rPr>
                <w:b/>
                <w:i/>
              </w:rPr>
              <w:t>, rámutatva az uniós szerződésekben, az Európai Unió Alapjogi Chartájában</w:t>
            </w:r>
            <w:r w:rsidRPr="008F6B7A">
              <w:t xml:space="preserve"> és a </w:t>
            </w:r>
            <w:r w:rsidRPr="008F6B7A">
              <w:rPr>
                <w:b/>
                <w:i/>
              </w:rPr>
              <w:t>nemzetközi emberi jogi jogszabályokban rögzített alapvető jogok</w:t>
            </w:r>
            <w:r w:rsidRPr="008F6B7A">
              <w:t xml:space="preserve">, </w:t>
            </w:r>
            <w:r w:rsidRPr="008F6B7A">
              <w:rPr>
                <w:b/>
                <w:i/>
              </w:rPr>
              <w:t>szaba</w:t>
            </w:r>
            <w:r w:rsidRPr="008F6B7A">
              <w:rPr>
                <w:b/>
                <w:i/>
              </w:rPr>
              <w:t>dságok</w:t>
            </w:r>
            <w:r w:rsidRPr="008F6B7A">
              <w:t xml:space="preserve"> és </w:t>
            </w:r>
            <w:r w:rsidRPr="008F6B7A">
              <w:rPr>
                <w:b/>
                <w:i/>
              </w:rPr>
              <w:t>értékek fontosságára</w:t>
            </w:r>
            <w:r w:rsidRPr="008F6B7A">
              <w:t>;</w:t>
            </w:r>
          </w:p>
        </w:tc>
        <w:tc>
          <w:tcPr>
            <w:tcW w:w="4876" w:type="dxa"/>
            <w:hideMark/>
          </w:tcPr>
          <w:p w:rsidR="00060590" w:rsidRPr="008F6B7A" w:rsidRDefault="000565EC" w:rsidP="00060590">
            <w:pPr>
              <w:pStyle w:val="Normal6"/>
              <w:rPr>
                <w:szCs w:val="24"/>
              </w:rPr>
            </w:pPr>
            <w:r w:rsidRPr="008F6B7A">
              <w:t>2.</w:t>
            </w:r>
            <w:r w:rsidRPr="008F6B7A">
              <w:tab/>
            </w:r>
            <w:r w:rsidRPr="008F6B7A">
              <w:rPr>
                <w:b/>
                <w:i/>
              </w:rPr>
              <w:t>támogatja</w:t>
            </w:r>
            <w:r w:rsidRPr="008F6B7A">
              <w:t xml:space="preserve"> az </w:t>
            </w:r>
            <w:r w:rsidRPr="008F6B7A">
              <w:rPr>
                <w:b/>
                <w:i/>
              </w:rPr>
              <w:t>EU arra irányuló törekvéseit, hogy továbbfejlessze versenyelőnyeit a</w:t>
            </w:r>
            <w:r w:rsidRPr="008F6B7A">
              <w:t xml:space="preserve"> globális </w:t>
            </w:r>
            <w:r w:rsidRPr="008F6B7A">
              <w:rPr>
                <w:b/>
                <w:i/>
              </w:rPr>
              <w:t>mesterségesintelligencia-ágazatban; különösen üdvözli</w:t>
            </w:r>
            <w:r w:rsidRPr="008F6B7A">
              <w:t xml:space="preserve"> a polgári és katonai </w:t>
            </w:r>
            <w:r w:rsidRPr="008F6B7A">
              <w:rPr>
                <w:b/>
                <w:i/>
              </w:rPr>
              <w:t>felhasználás</w:t>
            </w:r>
            <w:r w:rsidRPr="008F6B7A">
              <w:t xml:space="preserve">, valamint az állami </w:t>
            </w:r>
            <w:r w:rsidRPr="008F6B7A">
              <w:rPr>
                <w:b/>
                <w:i/>
              </w:rPr>
              <w:t>hatalom területét</w:t>
            </w:r>
            <w:r w:rsidRPr="008F6B7A">
              <w:t xml:space="preserve"> illetően</w:t>
            </w:r>
            <w:r w:rsidRPr="008F6B7A">
              <w:rPr>
                <w:b/>
                <w:i/>
              </w:rPr>
              <w:t xml:space="preserve"> a fokozott erőfeszítéseket egy olyan hatékony stratégia kialakítására, amelynek célja</w:t>
            </w:r>
            <w:r w:rsidRPr="008F6B7A">
              <w:t xml:space="preserve"> a globális szabványok </w:t>
            </w:r>
            <w:r w:rsidRPr="008F6B7A">
              <w:rPr>
                <w:b/>
                <w:i/>
              </w:rPr>
              <w:t>alakítására gyakorolt befolyás növelése,</w:t>
            </w:r>
            <w:r w:rsidRPr="008F6B7A">
              <w:t xml:space="preserve"> és </w:t>
            </w:r>
            <w:r w:rsidRPr="008F6B7A">
              <w:rPr>
                <w:b/>
                <w:i/>
              </w:rPr>
              <w:t>az algoritmusokon alapuló technológiákhoz elengedhetetlen adatok terén Európa külföldi adatokt</w:t>
            </w:r>
            <w:r w:rsidRPr="008F6B7A">
              <w:rPr>
                <w:b/>
                <w:i/>
              </w:rPr>
              <w:t>ól való függésének csökkentése;</w:t>
            </w:r>
            <w:r w:rsidRPr="008F6B7A">
              <w:t xml:space="preserve"> </w:t>
            </w:r>
            <w:r w:rsidRPr="008F6B7A">
              <w:rPr>
                <w:b/>
                <w:i/>
              </w:rPr>
              <w:t>felhívja</w:t>
            </w:r>
            <w:r w:rsidRPr="008F6B7A">
              <w:t xml:space="preserve"> a </w:t>
            </w:r>
            <w:r w:rsidRPr="008F6B7A">
              <w:rPr>
                <w:b/>
                <w:i/>
              </w:rPr>
              <w:t>Bizottságot és a tagállamokat, hogy támogassák</w:t>
            </w:r>
            <w:r w:rsidRPr="008F6B7A">
              <w:t xml:space="preserve"> az </w:t>
            </w:r>
            <w:r w:rsidRPr="008F6B7A">
              <w:rPr>
                <w:b/>
                <w:i/>
              </w:rPr>
              <w:t>ENSZ-en</w:t>
            </w:r>
            <w:r w:rsidRPr="008F6B7A">
              <w:t xml:space="preserve">, az </w:t>
            </w:r>
            <w:r w:rsidRPr="008F6B7A">
              <w:rPr>
                <w:b/>
                <w:i/>
              </w:rPr>
              <w:t>OECD-n</w:t>
            </w:r>
            <w:r w:rsidRPr="008F6B7A">
              <w:t>, a G7</w:t>
            </w:r>
            <w:r w:rsidRPr="008F6B7A">
              <w:rPr>
                <w:b/>
                <w:i/>
              </w:rPr>
              <w:t>-eken,</w:t>
            </w:r>
            <w:r w:rsidRPr="008F6B7A">
              <w:t xml:space="preserve"> a G20</w:t>
            </w:r>
            <w:r w:rsidRPr="008F6B7A">
              <w:rPr>
                <w:b/>
                <w:i/>
              </w:rPr>
              <w:t>-akon és</w:t>
            </w:r>
            <w:r w:rsidRPr="008F6B7A">
              <w:t xml:space="preserve"> más nemzetközi fórumokon</w:t>
            </w:r>
            <w:r w:rsidRPr="008F6B7A">
              <w:rPr>
                <w:b/>
                <w:i/>
              </w:rPr>
              <w:t xml:space="preserve"> belüli szélesebb körű együttműködést a mesterséges intelligenciával és más új generációs tech</w:t>
            </w:r>
            <w:r w:rsidRPr="008F6B7A">
              <w:rPr>
                <w:b/>
                <w:i/>
              </w:rPr>
              <w:t>nológiákkal kapcsolatos bevált gyakorlatok</w:t>
            </w:r>
            <w:r w:rsidRPr="008F6B7A">
              <w:t xml:space="preserve"> és </w:t>
            </w:r>
            <w:r w:rsidRPr="008F6B7A">
              <w:rPr>
                <w:b/>
                <w:i/>
              </w:rPr>
              <w:t xml:space="preserve">legújabb fejlesztések cseréjének előmozdítása érdekében; hangsúlyozza annak fontosságát, hogy ne csak </w:t>
            </w:r>
            <w:r w:rsidRPr="008F6B7A">
              <w:t xml:space="preserve">a </w:t>
            </w:r>
            <w:r w:rsidRPr="008F6B7A">
              <w:rPr>
                <w:b/>
                <w:i/>
              </w:rPr>
              <w:t xml:space="preserve">mesterségesintelligencia-technológiákat vegyék figyelembe, hanem más új generációs technológiákat is, </w:t>
            </w:r>
            <w:r w:rsidRPr="008F6B7A">
              <w:rPr>
                <w:b/>
                <w:i/>
              </w:rPr>
              <w:t>például a kvantum-számítástechnikát</w:t>
            </w:r>
            <w:r w:rsidRPr="008F6B7A">
              <w:t xml:space="preserve">, </w:t>
            </w:r>
            <w:r w:rsidRPr="008F6B7A">
              <w:rPr>
                <w:b/>
                <w:i/>
              </w:rPr>
              <w:t>amelyek már kutatás tárgyát képezik,</w:t>
            </w:r>
            <w:r w:rsidRPr="008F6B7A">
              <w:t xml:space="preserve"> és </w:t>
            </w:r>
            <w:r w:rsidRPr="008F6B7A">
              <w:rPr>
                <w:b/>
                <w:i/>
              </w:rPr>
              <w:t>az ágazatközi technológiai fejlődés következő lépcsőfokát jelentik</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w:t>
      </w:r>
      <w:r w:rsidRPr="008F6B7A">
        <w:t>vařík, Caroline Nagtegaal, Izaskun Bilbao Barandica, Nicola Danti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2.</w:t>
            </w:r>
            <w:r w:rsidRPr="008F6B7A">
              <w:tab/>
              <w:t xml:space="preserve">hangsúlyozza, hogy az EU-nak az MI terén globális normatív </w:t>
            </w:r>
            <w:r w:rsidRPr="008F6B7A">
              <w:t>szereplőként kell fellépnie a polgári és katonai felhasználást, valamint az állami szerepvállalást illetően, és hatékony stratégiával kell rendelkeznie ahhoz, hogy erősítse befolyását a globális szabványok kialakítása tekintetében; felhívja a Bizottságot é</w:t>
            </w:r>
            <w:r w:rsidRPr="008F6B7A">
              <w:t>s a tagállamokat, hogy az MI uniós megközelítésének előmozdítása érdekében lépjenek fel a szélesebb körű együttműködés mellett az ENSZ-ben, az OECD-ben, a G7- és a G20-csoportban, valamint más nemzetközi fórumokon, rámutatva az uniós szerződésekben, az Eur</w:t>
            </w:r>
            <w:r w:rsidRPr="008F6B7A">
              <w:t>ópai Unió Alapjogi Chartájában és a nemzetközi emberi jogi jogszabályokban rögzített alapvető jogok, szabadságok és értékek fontosságára;</w:t>
            </w:r>
          </w:p>
        </w:tc>
        <w:tc>
          <w:tcPr>
            <w:tcW w:w="4876" w:type="dxa"/>
            <w:hideMark/>
          </w:tcPr>
          <w:p w:rsidR="00060590" w:rsidRPr="008F6B7A" w:rsidRDefault="000565EC" w:rsidP="00073109">
            <w:pPr>
              <w:pStyle w:val="Normal6"/>
              <w:rPr>
                <w:szCs w:val="24"/>
              </w:rPr>
            </w:pPr>
            <w:r w:rsidRPr="008F6B7A">
              <w:t>2.</w:t>
            </w:r>
            <w:r w:rsidRPr="008F6B7A">
              <w:tab/>
              <w:t>hangsúlyozza, hogy az EU-nak az MI terén globális normatív szereplőként kell fellépnie a polgári és katonai felhasz</w:t>
            </w:r>
            <w:r w:rsidRPr="008F6B7A">
              <w:t>nálást, valamint az állami szerepvállalást illetően, és hatékony stratégiával kell rendelkeznie ahhoz, hogy erősítse befolyását a globális szabványok kialakítása tekintetében; felhívja a Bizottságot és a tagállamokat, hogy az MI uniós megközelítésének előm</w:t>
            </w:r>
            <w:r w:rsidRPr="008F6B7A">
              <w:t>ozdítása érdekében lépjenek fel a szélesebb körű együttműködés mellett az ENSZ-ben, az OECD-ben, a G7- és a G20-csoportban, valamint más nemzetközi fórumokon, rámutatva az uniós szerződésekben, az Európai Unió Alapjogi Chartájában és a nemzetközi emberi jo</w:t>
            </w:r>
            <w:r w:rsidRPr="008F6B7A">
              <w:t xml:space="preserve">gi jogszabályokban rögzített alapvető jogok, szabadságok és értékek fontosságára; </w:t>
            </w:r>
            <w:r w:rsidRPr="008F6B7A">
              <w:rPr>
                <w:b/>
                <w:i/>
              </w:rPr>
              <w:t>tekintettel a kutatás és fejlesztés növekvő jelentőségére a magánszektorban, valamint a harmadik országokból – például az Egyesült Államokból és Kínából – származó hatalmas b</w:t>
            </w:r>
            <w:r w:rsidRPr="008F6B7A">
              <w:rPr>
                <w:b/>
                <w:i/>
              </w:rPr>
              <w:t>efektetésekre, Európa versennyel néz szembe, egyidejűleg fennáll annak a veszélye, hogy elveszíti stratégiai autonómiáját;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6</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 xml:space="preserve">Henna Virkkunen, Elissavet </w:t>
      </w:r>
      <w:r w:rsidRPr="008F6B7A">
        <w:t>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2.</w:t>
            </w:r>
            <w:r w:rsidRPr="008F6B7A">
              <w:tab/>
              <w:t xml:space="preserve">hangsúlyozza, hogy az EU-nak az MI terén globális normatív szereplőként </w:t>
            </w:r>
            <w:r w:rsidRPr="008F6B7A">
              <w:t>kell fellépnie a polgári és katonai felhasználást, valamint az állami szerepvállalást illetően, és hatékony stratégiával kell rendelkeznie ahhoz, hogy erősítse befolyását a globális szabványok kialakítása tekintetében; felhívja a Bizottságot és a tagállamo</w:t>
            </w:r>
            <w:r w:rsidRPr="008F6B7A">
              <w:t>kat, hogy az MI uniós megközelítésének előmozdítása érdekében lépjenek fel a szélesebb körű együttműködés mellett az ENSZ-ben, az OECD-ben, a G7- és a G20-csoportban, valamint más nemzetközi fórumokon, rámutatva az uniós szerződésekben, az Európai Unió Ala</w:t>
            </w:r>
            <w:r w:rsidRPr="008F6B7A">
              <w:t>pjogi Chartájában és a nemzetközi emberi jogi jogszabályokban rögzített alapvető jogok, szabadságok és értékek fontosságára;</w:t>
            </w:r>
          </w:p>
        </w:tc>
        <w:tc>
          <w:tcPr>
            <w:tcW w:w="4876" w:type="dxa"/>
            <w:hideMark/>
          </w:tcPr>
          <w:p w:rsidR="00060590" w:rsidRPr="008F6B7A" w:rsidRDefault="000565EC" w:rsidP="007C4967">
            <w:pPr>
              <w:pStyle w:val="Normal6"/>
              <w:rPr>
                <w:szCs w:val="24"/>
              </w:rPr>
            </w:pPr>
            <w:r w:rsidRPr="008F6B7A">
              <w:t>2.</w:t>
            </w:r>
            <w:r w:rsidRPr="008F6B7A">
              <w:tab/>
              <w:t>hangsúlyozza, hogy az EU-nak az MI terén globális normatív szereplőként kell fellépnie a polgári és katonai felhasználást, valam</w:t>
            </w:r>
            <w:r w:rsidRPr="008F6B7A">
              <w:t>int az állami szerepvállalást illetően, és hatékony stratégiával kell rendelkeznie ahhoz, hogy erősítse befolyását a globális szabványok kialakítása tekintetében; felhívja a Bizottságot és a tagállamokat, hogy az MI uniós megközelítésének előmozdítása érde</w:t>
            </w:r>
            <w:r w:rsidRPr="008F6B7A">
              <w:t>kében lépjenek fel a szélesebb körű együttműködés mellett az ENSZ-ben, az OECD-ben, a G7- és a G20-csoportban, valamint más nemzetközi fórumokon, rámutatva az uniós szerződésekben, az Európai Unió Alapjogi Chartájában és a nemzetközi emberi jogi jogszabály</w:t>
            </w:r>
            <w:r w:rsidRPr="008F6B7A">
              <w:t xml:space="preserve">okban rögzített alapvető jogok, szabadságok és értékek fontosságára; </w:t>
            </w:r>
            <w:r w:rsidRPr="008F6B7A">
              <w:rPr>
                <w:b/>
                <w:i/>
              </w:rPr>
              <w:t>megjegyzi, hogy az autonóm fegyverrendszereket – mint a mesterséges intelligencia katonai területen alkalmazott különleges kategóriáját – nemzetközi szinten kell megvitatni és megállapodá</w:t>
            </w:r>
            <w:r w:rsidRPr="008F6B7A">
              <w:rPr>
                <w:b/>
                <w:i/>
              </w:rPr>
              <w:t>s tárgyává tenni, különösen az ENSZ CCW fórumán;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7</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bekezdés</w:t>
      </w:r>
      <w:r w:rsidRPr="008F6B7A">
        <w:rPr>
          <w:rStyle w:val="HideTWBExt"/>
          <w:b w:val="0"/>
          <w:noProof w:val="0"/>
        </w:rPr>
        <w:t>&lt;/Article</w:t>
      </w:r>
      <w:r w:rsidRPr="008F6B7A">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2.</w:t>
            </w:r>
            <w:r w:rsidRPr="008F6B7A">
              <w:tab/>
              <w:t>hangsúlyozza, hogy az EU-nak az MI terén globális normatív szereplőként kell fellépnie a polgári és katonai felhasználást, valamint az állami szerepvállalást illetően, és hatékony stratégiával kell rendelkeznie ahhoz, hog</w:t>
            </w:r>
            <w:r w:rsidRPr="008F6B7A">
              <w:t xml:space="preserve">y erősítse befolyását a globális szabványok kialakítása tekintetében; felhívja a Bizottságot és a tagállamokat, hogy az MI uniós megközelítésének előmozdítása érdekében lépjenek fel a szélesebb körű együttműködés mellett az ENSZ-ben, az OECD-ben, a G7- és </w:t>
            </w:r>
            <w:r w:rsidRPr="008F6B7A">
              <w:t>a G20-csoportban, valamint más nemzetközi fórumokon, rámutatva az uniós szerződésekben, az Európai Unió Alapjogi Chartájában és a nemzetközi emberi jogi jogszabályokban rögzített alapvető jogok, szabadságok és értékek fontosságára;</w:t>
            </w:r>
          </w:p>
        </w:tc>
        <w:tc>
          <w:tcPr>
            <w:tcW w:w="4876" w:type="dxa"/>
            <w:hideMark/>
          </w:tcPr>
          <w:p w:rsidR="00060590" w:rsidRPr="008F6B7A" w:rsidRDefault="000565EC" w:rsidP="00073109">
            <w:pPr>
              <w:pStyle w:val="Normal6"/>
              <w:rPr>
                <w:szCs w:val="24"/>
              </w:rPr>
            </w:pPr>
            <w:r w:rsidRPr="008F6B7A">
              <w:t>2.</w:t>
            </w:r>
            <w:r w:rsidRPr="008F6B7A">
              <w:tab/>
              <w:t>hangsúlyozza, hogy az</w:t>
            </w:r>
            <w:r w:rsidRPr="008F6B7A">
              <w:t xml:space="preserve"> EU-nak az MI terén globális normatív szereplőként kell fellépnie a polgári és katonai felhasználást, valamint az állami szerepvállalást illetően, és hatékony stratégiával kell rendelkeznie ahhoz, hogy erősítse befolyását a globális szabványok kialakítása </w:t>
            </w:r>
            <w:r w:rsidRPr="008F6B7A">
              <w:t>tekintetében; felhívja a Bizottságot és a tagállamokat, hogy az MI uniós megközelítésének előmozdítása érdekében lépjenek fel a szélesebb körű együttműködés mellett az ENSZ-ben, az OECD-ben, a G7- és a G20-csoportban, valamint más nemzetközi fórumokon, rám</w:t>
            </w:r>
            <w:r w:rsidRPr="008F6B7A">
              <w:t>utatva az uniós szerződésekben, az Európai Unió Alapjogi Chartájában és a nemzetközi emberi jogi jogszabályokban rögzített alapvető jogok, szabadságok és értékek fontosságára</w:t>
            </w:r>
            <w:r w:rsidRPr="008F6B7A">
              <w:rPr>
                <w:b/>
                <w:i/>
              </w:rPr>
              <w:t>, valamint figyelembe véve az etikai normákat és a felelősség kérdését is</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w:t>
      </w:r>
      <w:r w:rsidRPr="008F6B7A">
        <w:rPr>
          <w:rStyle w:val="HideTWBExt"/>
          <w:noProof w:val="0"/>
        </w:rPr>
        <w: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8</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Kateřina Konečná</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2.</w:t>
            </w:r>
            <w:r w:rsidRPr="008F6B7A">
              <w:tab/>
              <w:t xml:space="preserve">hangsúlyozza, </w:t>
            </w:r>
            <w:r w:rsidRPr="008F6B7A">
              <w:t>hogy az EU-nak az MI terén globális normatív szereplőként kell fellépnie a polgári és katonai felhasználást, valamint az állami szerepvállalást illetően, és hatékony stratégiával kell rendelkeznie ahhoz, hogy erősítse befolyását a globális szabványok kiala</w:t>
            </w:r>
            <w:r w:rsidRPr="008F6B7A">
              <w:t xml:space="preserve">kítása tekintetében; felhívja a Bizottságot és a tagállamokat, hogy az MI uniós megközelítésének előmozdítása érdekében </w:t>
            </w:r>
            <w:r w:rsidRPr="008F6B7A">
              <w:rPr>
                <w:b/>
                <w:i/>
              </w:rPr>
              <w:t>lépjenek fel</w:t>
            </w:r>
            <w:r w:rsidRPr="008F6B7A">
              <w:t xml:space="preserve"> a szélesebb körű </w:t>
            </w:r>
            <w:r w:rsidRPr="008F6B7A">
              <w:rPr>
                <w:b/>
                <w:i/>
              </w:rPr>
              <w:t>együttműködés mellett az ENSZ-ben, az OECD-ben, a G7- és a G20-csoportban</w:t>
            </w:r>
            <w:r w:rsidRPr="008F6B7A">
              <w:t>, valamint más nemzetközi fórumok</w:t>
            </w:r>
            <w:r w:rsidRPr="008F6B7A">
              <w:t>on, rámutatva az uniós szerződésekben, az Európai Unió Alapjogi Chartájában és a nemzetközi emberi jogi jogszabályokban rögzített alapvető jogok, szabadságok és értékek fontosságára;</w:t>
            </w:r>
          </w:p>
        </w:tc>
        <w:tc>
          <w:tcPr>
            <w:tcW w:w="4876" w:type="dxa"/>
            <w:hideMark/>
          </w:tcPr>
          <w:p w:rsidR="00060590" w:rsidRPr="008F6B7A" w:rsidRDefault="000565EC" w:rsidP="00073109">
            <w:pPr>
              <w:pStyle w:val="Normal6"/>
              <w:rPr>
                <w:szCs w:val="24"/>
              </w:rPr>
            </w:pPr>
            <w:r w:rsidRPr="008F6B7A">
              <w:t>2.</w:t>
            </w:r>
            <w:r w:rsidRPr="008F6B7A">
              <w:tab/>
              <w:t>hangsúlyozza, hogy az EU-nak az MI terén globális normatív szereplőkén</w:t>
            </w:r>
            <w:r w:rsidRPr="008F6B7A">
              <w:t>t kell fellépnie a polgári és katonai felhasználást, valamint az állami szerepvállalást illetően, és hatékony stratégiával kell rendelkeznie ahhoz, hogy erősítse befolyását a globális szabványok kialakítása tekintetében; felhívja a Bizottságot és a tagálla</w:t>
            </w:r>
            <w:r w:rsidRPr="008F6B7A">
              <w:t xml:space="preserve">mokat, hogy az MI uniós megközelítésének előmozdítása érdekében </w:t>
            </w:r>
            <w:r w:rsidRPr="008F6B7A">
              <w:rPr>
                <w:b/>
                <w:i/>
              </w:rPr>
              <w:t>szorgalmazzák</w:t>
            </w:r>
            <w:r w:rsidRPr="008F6B7A">
              <w:t xml:space="preserve"> a szélesebb körű </w:t>
            </w:r>
            <w:r w:rsidRPr="008F6B7A">
              <w:rPr>
                <w:b/>
                <w:i/>
              </w:rPr>
              <w:t>nemzetközi együttműködést</w:t>
            </w:r>
            <w:r w:rsidRPr="008F6B7A">
              <w:t>, rámutatva az uniós szerződésekben, az Európai Unió Alapjogi Chartájában és a nemzetközi emberi jogi jogszabályokban rögzített alapvető</w:t>
            </w:r>
            <w:r w:rsidRPr="008F6B7A">
              <w:t xml:space="preserve"> jogok, szabadságok és értékek fontosságára;</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9</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Henna Virkkunen, Elissavet 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w:t>
      </w:r>
      <w:r w:rsidRPr="008F6B7A">
        <w:rPr>
          <w:rStyle w:val="HideTWBExt"/>
          <w:b w:val="0"/>
          <w:noProof w:val="0"/>
        </w:rPr>
        <w: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2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2a.</w:t>
            </w:r>
            <w:r w:rsidRPr="008F6B7A">
              <w:rPr>
                <w:b/>
                <w:i/>
              </w:rPr>
              <w:tab/>
              <w:t xml:space="preserve">tudomásul veszi a mesterségesintelligencia-alkalmazások jelentős gazdasági potenciálját; hangsúlyozza, hogy a közlekedés és a mobilitás területén </w:t>
            </w:r>
            <w:r w:rsidRPr="008F6B7A">
              <w:rPr>
                <w:b/>
                <w:i/>
              </w:rPr>
              <w:t>az új technológiákba történő beruházások közül sok piacvezérelt, de a kettős felhasználású, felhasználásra kész kereskedelmi technológiákat és termékeket gyakran innovatív módon katonai célokra használják; hangsúlyozza e tekintetben az európai versenyképes</w:t>
            </w:r>
            <w:r w:rsidRPr="008F6B7A">
              <w:rPr>
                <w:b/>
                <w:i/>
              </w:rPr>
              <w:t>ség fenntartásának fontosságát;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10</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 Josianne Cutajar</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bekezd</w:t>
      </w:r>
      <w:r w:rsidRPr="008F6B7A">
        <w:t>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3.</w:t>
            </w:r>
            <w:r w:rsidRPr="008F6B7A">
              <w:tab/>
              <w:t xml:space="preserve">véleménye szerint az MI megváltoztatja és támogatja a közlekedési ágazatot a közlekedési hálózatok növekvő automatizáltsága, nagyobb integrációja és összekapcsolása jóvoltából; hangsúlyozza, hogy az MI </w:t>
            </w:r>
            <w:r w:rsidRPr="008F6B7A">
              <w:t>automatizáltsága és integrációja a közlekedési módoktól függően változó fokú;</w:t>
            </w:r>
          </w:p>
        </w:tc>
        <w:tc>
          <w:tcPr>
            <w:tcW w:w="4876" w:type="dxa"/>
            <w:hideMark/>
          </w:tcPr>
          <w:p w:rsidR="00060590" w:rsidRPr="008F6B7A" w:rsidRDefault="000565EC" w:rsidP="00073109">
            <w:pPr>
              <w:pStyle w:val="Normal6"/>
              <w:rPr>
                <w:szCs w:val="24"/>
              </w:rPr>
            </w:pPr>
            <w:r w:rsidRPr="008F6B7A">
              <w:t>3.</w:t>
            </w:r>
            <w:r w:rsidRPr="008F6B7A">
              <w:tab/>
              <w:t>véleménye szerint az MI megváltoztatja és támogatja a közlekedési ágazatot a közlekedési hálózatok növekvő automatizáltsága, nagyobb integrációja és összekapcsolása jóvoltából</w:t>
            </w:r>
            <w:r w:rsidRPr="008F6B7A">
              <w:t xml:space="preserve">; </w:t>
            </w:r>
            <w:r w:rsidRPr="008F6B7A">
              <w:rPr>
                <w:b/>
                <w:i/>
              </w:rPr>
              <w:t>hangsúlyozza, hogy fokozni kell a mesterséges intelligencia alkalmazását és a digitalizációt a közlekedési és logisztikai ágazatban a valódi „egységes európai közlekedési térség” létrehozása előtt álló akadályok felszámolása, valamint az áru- és utasforg</w:t>
            </w:r>
            <w:r w:rsidRPr="008F6B7A">
              <w:rPr>
                <w:b/>
                <w:i/>
              </w:rPr>
              <w:t>alom szervezése és irányítása hatékonyságának növelése érdekében, továbbá azt, hogy jobban ki kell használni a transzeurópai közlekedési hálózat (TEN-T) infrastruktúráját és erőforrásait, különösen a határokon átnyúló szakaszokon;</w:t>
            </w:r>
            <w:r w:rsidRPr="008F6B7A">
              <w:t xml:space="preserve"> hangsúlyozza, hogy az aut</w:t>
            </w:r>
            <w:r w:rsidRPr="008F6B7A">
              <w:t xml:space="preserve">omatizáltság és az MI integrációja a közlekedési módoktól függően változó fokú; </w:t>
            </w:r>
            <w:r w:rsidRPr="008F6B7A">
              <w:rPr>
                <w:b/>
                <w:i/>
              </w:rPr>
              <w:t>úgy véli, hogy az MI integrációjának együtt kell járnia a multimodalitás és az összes közlekedési mód interoperabilitásának jelentős fokozásával az uniós ellátási lánc folyamat</w:t>
            </w:r>
            <w:r w:rsidRPr="008F6B7A">
              <w:rPr>
                <w:b/>
                <w:i/>
              </w:rPr>
              <w:t>osságának biztosítása és fenntartása érdekében;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bekezdés</w:t>
      </w:r>
      <w:r w:rsidRPr="008F6B7A">
        <w:rPr>
          <w:rStyle w:val="HideTWBExt"/>
          <w:b w:val="0"/>
          <w:noProof w:val="0"/>
        </w:rPr>
        <w:t>&lt;/Article</w:t>
      </w:r>
      <w:r w:rsidRPr="008F6B7A">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3.</w:t>
            </w:r>
            <w:r w:rsidRPr="008F6B7A">
              <w:tab/>
              <w:t>véleménye szerint az MI megváltoztatja és támogatja a közlekedési ágazatot a közlekedési hálózatok növekvő automatizáltsága, nagyobb integrációja és összekapcsolása jóvoltából; hangsúlyozza, hogy az MI automatizáltsága és</w:t>
            </w:r>
            <w:r w:rsidRPr="008F6B7A">
              <w:t xml:space="preserve"> integrációja a közlekedési módoktól függően változó fokú;</w:t>
            </w:r>
          </w:p>
        </w:tc>
        <w:tc>
          <w:tcPr>
            <w:tcW w:w="4876" w:type="dxa"/>
            <w:hideMark/>
          </w:tcPr>
          <w:p w:rsidR="00060590" w:rsidRPr="008F6B7A" w:rsidRDefault="000565EC" w:rsidP="007C4967">
            <w:pPr>
              <w:pStyle w:val="Normal6"/>
              <w:rPr>
                <w:szCs w:val="24"/>
              </w:rPr>
            </w:pPr>
            <w:r w:rsidRPr="008F6B7A">
              <w:t>3.</w:t>
            </w:r>
            <w:r w:rsidRPr="008F6B7A">
              <w:tab/>
              <w:t>véleménye szerint az MI megváltoztatja és támogatja a közlekedési ágazatot a közlekedési hálózatok növekvő automatizáltsága, nagyobb integrációja és összekapcsolása jóvoltából; hangsúlyozza, hog</w:t>
            </w:r>
            <w:r w:rsidRPr="008F6B7A">
              <w:t xml:space="preserve">y az automatizáltság és az MI integrációja a közlekedési módoktól függően változó fokú; </w:t>
            </w:r>
            <w:r w:rsidRPr="008F6B7A">
              <w:rPr>
                <w:b/>
                <w:i/>
              </w:rPr>
              <w:t>hangsúlyozza, hogy a közlekedési ágazatban az MI-technológiák továbbfejlesztése során növelni kell az energiahatékonyságot a megújuló technológiák használatának előmozd</w:t>
            </w:r>
            <w:r w:rsidRPr="008F6B7A">
              <w:rPr>
                <w:b/>
                <w:i/>
              </w:rPr>
              <w:t>ítása révén, és figyelembe kell venni a természeti környezetre és az emberi egészségre gyakorolt hatást;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 xml:space="preserve">Henna Virkkunen, Elissavet Vozemberg-Vrionidi, </w:t>
      </w:r>
      <w:r w:rsidRPr="008F6B7A">
        <w:t>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3.</w:t>
            </w:r>
            <w:r w:rsidRPr="008F6B7A">
              <w:tab/>
              <w:t xml:space="preserve">véleménye szerint az MI megváltoztatja és támogatja a közlekedési ágazatot a közlekedési </w:t>
            </w:r>
            <w:r w:rsidRPr="008F6B7A">
              <w:t>hálózatok növekvő automatizáltsága, nagyobb integrációja és összekapcsolása jóvoltából; hangsúlyozza, hogy az MI automatizáltsága és integrációja a közlekedési módoktól függően változó fokú;</w:t>
            </w:r>
          </w:p>
        </w:tc>
        <w:tc>
          <w:tcPr>
            <w:tcW w:w="4876" w:type="dxa"/>
            <w:hideMark/>
          </w:tcPr>
          <w:p w:rsidR="00060590" w:rsidRPr="008F6B7A" w:rsidRDefault="000565EC" w:rsidP="007C4967">
            <w:pPr>
              <w:pStyle w:val="Normal6"/>
              <w:rPr>
                <w:szCs w:val="24"/>
              </w:rPr>
            </w:pPr>
            <w:r w:rsidRPr="008F6B7A">
              <w:t>3.</w:t>
            </w:r>
            <w:r w:rsidRPr="008F6B7A">
              <w:tab/>
              <w:t>véleménye szerint az MI megváltoztatja és támogatja a közleked</w:t>
            </w:r>
            <w:r w:rsidRPr="008F6B7A">
              <w:t xml:space="preserve">ési ágazatot a közlekedési hálózatok növekvő automatizáltsága, nagyobb integrációja és összekapcsolása jóvoltából; hangsúlyozza, hogy az automatizáltság és az MI integrációja a közlekedési módoktól függően változó fokú; </w:t>
            </w:r>
            <w:r w:rsidRPr="008F6B7A">
              <w:rPr>
                <w:b/>
                <w:i/>
              </w:rPr>
              <w:t>elismeri a mesterséges intelligencia</w:t>
            </w:r>
            <w:r w:rsidRPr="008F6B7A">
              <w:rPr>
                <w:b/>
                <w:i/>
              </w:rPr>
              <w:t xml:space="preserve"> számos lehetőségét a katonai logisztika és mobilitás területén; tudomásul veszi a félautonóm és önvezető járművek, többek között a légi járművek, a drónok, a földi járművek és a hadihajók fejlődését;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13</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3.</w:t>
            </w:r>
            <w:r w:rsidRPr="008F6B7A">
              <w:tab/>
              <w:t>véleménye szerint az MI megváltoztatja és támogatja a kö</w:t>
            </w:r>
            <w:r w:rsidRPr="008F6B7A">
              <w:t xml:space="preserve">zlekedési ágazatot a közlekedési hálózatok </w:t>
            </w:r>
            <w:r w:rsidRPr="008F6B7A">
              <w:rPr>
                <w:b/>
                <w:i/>
              </w:rPr>
              <w:t>növekvő automatizáltsága</w:t>
            </w:r>
            <w:r w:rsidRPr="008F6B7A">
              <w:t xml:space="preserve">, nagyobb integrációja és összekapcsolása jóvoltából; hangsúlyozza, hogy </w:t>
            </w:r>
            <w:r w:rsidRPr="008F6B7A">
              <w:rPr>
                <w:b/>
                <w:i/>
              </w:rPr>
              <w:t>az MI automatizáltsága</w:t>
            </w:r>
            <w:r w:rsidRPr="008F6B7A">
              <w:t xml:space="preserve"> és </w:t>
            </w:r>
            <w:r w:rsidRPr="008F6B7A">
              <w:rPr>
                <w:b/>
                <w:i/>
              </w:rPr>
              <w:t>integrációja</w:t>
            </w:r>
            <w:r w:rsidRPr="008F6B7A">
              <w:t xml:space="preserve"> a közlekedési </w:t>
            </w:r>
            <w:r w:rsidRPr="008F6B7A">
              <w:rPr>
                <w:b/>
                <w:i/>
              </w:rPr>
              <w:t>módoktól függően változó fokú</w:t>
            </w:r>
            <w:r w:rsidRPr="008F6B7A">
              <w:t>;</w:t>
            </w:r>
          </w:p>
        </w:tc>
        <w:tc>
          <w:tcPr>
            <w:tcW w:w="4876" w:type="dxa"/>
            <w:hideMark/>
          </w:tcPr>
          <w:p w:rsidR="00060590" w:rsidRPr="008F6B7A" w:rsidRDefault="000565EC" w:rsidP="00073109">
            <w:pPr>
              <w:pStyle w:val="Normal6"/>
              <w:rPr>
                <w:szCs w:val="24"/>
              </w:rPr>
            </w:pPr>
            <w:r w:rsidRPr="008F6B7A">
              <w:t>3.</w:t>
            </w:r>
            <w:r w:rsidRPr="008F6B7A">
              <w:tab/>
            </w:r>
            <w:r w:rsidRPr="008F6B7A">
              <w:t xml:space="preserve">véleménye szerint az MI megváltoztatja és támogatja a közlekedési ágazatot a közlekedési hálózatok </w:t>
            </w:r>
            <w:r w:rsidRPr="008F6B7A">
              <w:rPr>
                <w:b/>
                <w:i/>
              </w:rPr>
              <w:t>modernizálása</w:t>
            </w:r>
            <w:r w:rsidRPr="008F6B7A">
              <w:t>,</w:t>
            </w:r>
            <w:r w:rsidRPr="008F6B7A">
              <w:rPr>
                <w:b/>
                <w:i/>
              </w:rPr>
              <w:t xml:space="preserve"> automatizáltságuk </w:t>
            </w:r>
            <w:r w:rsidRPr="008F6B7A">
              <w:t xml:space="preserve"> nagyobb integrációja és összekapcsolása jóvoltából; hangsúlyozza</w:t>
            </w:r>
            <w:r w:rsidRPr="008F6B7A">
              <w:rPr>
                <w:b/>
                <w:i/>
              </w:rPr>
              <w:t xml:space="preserve"> azonban</w:t>
            </w:r>
            <w:r w:rsidRPr="008F6B7A">
              <w:t xml:space="preserve">, hogy </w:t>
            </w:r>
            <w:r w:rsidRPr="008F6B7A">
              <w:rPr>
                <w:b/>
                <w:i/>
              </w:rPr>
              <w:t>a mesterséges intelligencia automatizálása</w:t>
            </w:r>
            <w:r w:rsidRPr="008F6B7A">
              <w:t xml:space="preserve"> é</w:t>
            </w:r>
            <w:r w:rsidRPr="008F6B7A">
              <w:t xml:space="preserve">s </w:t>
            </w:r>
            <w:r w:rsidRPr="008F6B7A">
              <w:rPr>
                <w:b/>
                <w:i/>
              </w:rPr>
              <w:t>integrálása nemcsak</w:t>
            </w:r>
            <w:r w:rsidRPr="008F6B7A">
              <w:t xml:space="preserve"> a közlekedési </w:t>
            </w:r>
            <w:r w:rsidRPr="008F6B7A">
              <w:rPr>
                <w:b/>
                <w:i/>
              </w:rPr>
              <w:t>módok, hanem az Unió-szerte működő nemzeti infrastruktúrák között is eltérő</w:t>
            </w:r>
            <w:r w:rsidRPr="008F6B7A">
              <w:t xml:space="preserve">; </w:t>
            </w:r>
            <w:r w:rsidRPr="008F6B7A">
              <w:rPr>
                <w:b/>
                <w:i/>
              </w:rPr>
              <w:t>emlékeztet a kellő gondosság és az emberközpontú megközelítés fontosságára a teljes automatizálást célzó valamennyi fellépés tekintetében;</w:t>
            </w:r>
          </w:p>
        </w:tc>
      </w:tr>
    </w:tbl>
    <w:p w:rsidR="00060590" w:rsidRPr="008F6B7A" w:rsidRDefault="000565EC" w:rsidP="00060590">
      <w:pPr>
        <w:pStyle w:val="Olang"/>
        <w:rPr>
          <w:noProof w:val="0"/>
        </w:rPr>
      </w:pPr>
      <w:r w:rsidRPr="008F6B7A">
        <w:rPr>
          <w:noProof w:val="0"/>
        </w:rPr>
        <w:t>Or.</w:t>
      </w:r>
      <w:r w:rsidRPr="008F6B7A">
        <w:rPr>
          <w:noProof w:val="0"/>
        </w:rPr>
        <w:t xml:space="preserve">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color w:val="auto"/>
        </w:rPr>
        <w:t>&lt;Amend&gt;</w:t>
      </w:r>
      <w:r w:rsidRPr="008F6B7A">
        <w:t>Módosítás</w:t>
      </w:r>
      <w:r w:rsidRPr="008F6B7A">
        <w:tab/>
      </w:r>
      <w:r w:rsidRPr="008F6B7A">
        <w:tab/>
      </w:r>
      <w:r w:rsidRPr="008F6B7A">
        <w:rPr>
          <w:rStyle w:val="HideTWBExt"/>
          <w:b w:val="0"/>
          <w:noProof w:val="0"/>
          <w:color w:val="auto"/>
        </w:rPr>
        <w:t>&lt;NumAm&gt;</w:t>
      </w:r>
      <w:r w:rsidRPr="008F6B7A">
        <w:t>14</w:t>
      </w:r>
      <w:r w:rsidRPr="008F6B7A">
        <w:rPr>
          <w:rStyle w:val="HideTWBExt"/>
          <w:b w:val="0"/>
          <w:noProof w:val="0"/>
          <w:color w:val="auto"/>
        </w:rPr>
        <w:t>&lt;/NumAm&gt;</w:t>
      </w:r>
    </w:p>
    <w:p w:rsidR="00060590" w:rsidRPr="008F6B7A" w:rsidRDefault="000565EC" w:rsidP="00060590">
      <w:pPr>
        <w:pStyle w:val="NormalBold"/>
      </w:pPr>
      <w:r w:rsidRPr="008F6B7A">
        <w:rPr>
          <w:rStyle w:val="HideTWBExt"/>
          <w:b w:val="0"/>
          <w:noProof w:val="0"/>
          <w:color w:val="auto"/>
        </w:rPr>
        <w:t>&lt;RepeatBlock-By&gt;&lt;Members&gt;</w:t>
      </w:r>
      <w:r w:rsidRPr="008F6B7A">
        <w:t>Maria Grapini</w:t>
      </w:r>
      <w:r w:rsidRPr="008F6B7A">
        <w:rPr>
          <w:rStyle w:val="HideTWBExt"/>
          <w:b w:val="0"/>
          <w:noProof w:val="0"/>
          <w:color w:val="auto"/>
        </w:rPr>
        <w:t>&lt;/Members&gt;</w:t>
      </w:r>
    </w:p>
    <w:p w:rsidR="00060590" w:rsidRPr="008F6B7A" w:rsidRDefault="000565EC" w:rsidP="00060590">
      <w:r w:rsidRPr="008F6B7A">
        <w:rPr>
          <w:rStyle w:val="HideTWBExt"/>
          <w:noProof w:val="0"/>
          <w:color w:val="auto"/>
        </w:rPr>
        <w:t>&lt;/RepeatBlock-By&gt;</w:t>
      </w:r>
    </w:p>
    <w:p w:rsidR="00060590" w:rsidRPr="008F6B7A" w:rsidRDefault="000565EC" w:rsidP="00060590">
      <w:pPr>
        <w:pStyle w:val="NormalBold"/>
        <w:keepNext/>
      </w:pPr>
      <w:r w:rsidRPr="008F6B7A">
        <w:rPr>
          <w:rStyle w:val="HideTWBExt"/>
          <w:b w:val="0"/>
          <w:noProof w:val="0"/>
          <w:color w:val="auto"/>
        </w:rPr>
        <w:t>&lt;DocAmend&gt;</w:t>
      </w:r>
      <w:r w:rsidRPr="008F6B7A">
        <w:t>Véleménytervezet</w:t>
      </w:r>
      <w:r w:rsidRPr="008F6B7A">
        <w:rPr>
          <w:rStyle w:val="HideTWBExt"/>
          <w:b w:val="0"/>
          <w:noProof w:val="0"/>
          <w:color w:val="auto"/>
        </w:rPr>
        <w:t>&lt;/DocAmend&gt;</w:t>
      </w:r>
    </w:p>
    <w:p w:rsidR="00060590" w:rsidRPr="008F6B7A" w:rsidRDefault="000565EC" w:rsidP="00060590">
      <w:pPr>
        <w:pStyle w:val="NormalBold"/>
      </w:pPr>
      <w:r w:rsidRPr="008F6B7A">
        <w:rPr>
          <w:rStyle w:val="HideTWBExt"/>
          <w:b w:val="0"/>
          <w:noProof w:val="0"/>
          <w:color w:val="auto"/>
        </w:rPr>
        <w:t>&lt;Article&gt;</w:t>
      </w:r>
      <w:r w:rsidRPr="008F6B7A">
        <w:t>3 bekezdés</w:t>
      </w:r>
      <w:r w:rsidRPr="008F6B7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3.</w:t>
            </w:r>
            <w:r w:rsidRPr="008F6B7A">
              <w:tab/>
            </w:r>
            <w:r w:rsidRPr="008F6B7A">
              <w:t xml:space="preserve">véleménye szerint az MI megváltoztatja és támogatja a közlekedési ágazatot a közlekedési hálózatok növekvő automatizáltsága, nagyobb integrációja és összekapcsolása jóvoltából; hangsúlyozza, hogy </w:t>
            </w:r>
            <w:r w:rsidRPr="008F6B7A">
              <w:rPr>
                <w:b/>
                <w:i/>
              </w:rPr>
              <w:t>az MI automatizáltsága</w:t>
            </w:r>
            <w:r w:rsidRPr="008F6B7A">
              <w:t xml:space="preserve"> és </w:t>
            </w:r>
            <w:r w:rsidRPr="008F6B7A">
              <w:rPr>
                <w:b/>
                <w:i/>
              </w:rPr>
              <w:t xml:space="preserve">integrációja a közlekedési </w:t>
            </w:r>
            <w:r w:rsidRPr="008F6B7A">
              <w:rPr>
                <w:b/>
                <w:i/>
              </w:rPr>
              <w:t>módoktól függően változó fokú</w:t>
            </w:r>
            <w:r w:rsidRPr="008F6B7A">
              <w:t>;</w:t>
            </w:r>
          </w:p>
        </w:tc>
        <w:tc>
          <w:tcPr>
            <w:tcW w:w="4876" w:type="dxa"/>
            <w:hideMark/>
          </w:tcPr>
          <w:p w:rsidR="00060590" w:rsidRPr="008F6B7A" w:rsidRDefault="000565EC" w:rsidP="00073109">
            <w:pPr>
              <w:pStyle w:val="Normal6"/>
              <w:rPr>
                <w:szCs w:val="24"/>
              </w:rPr>
            </w:pPr>
            <w:r w:rsidRPr="008F6B7A">
              <w:t>3.</w:t>
            </w:r>
            <w:r w:rsidRPr="008F6B7A">
              <w:tab/>
              <w:t xml:space="preserve">véleménye szerint az MI megváltoztatja és támogatja a közlekedési ágazatot a közlekedési hálózatok növekvő automatizáltsága, nagyobb integrációja és összekapcsolása jóvoltából; hangsúlyozza, hogy </w:t>
            </w:r>
            <w:r w:rsidRPr="008F6B7A">
              <w:rPr>
                <w:b/>
                <w:i/>
              </w:rPr>
              <w:t>bár a mesterséges intellig</w:t>
            </w:r>
            <w:r w:rsidRPr="008F6B7A">
              <w:rPr>
                <w:b/>
                <w:i/>
              </w:rPr>
              <w:t>encia automatizálása</w:t>
            </w:r>
            <w:r w:rsidRPr="008F6B7A">
              <w:t xml:space="preserve"> és </w:t>
            </w:r>
            <w:r w:rsidRPr="008F6B7A">
              <w:rPr>
                <w:b/>
                <w:i/>
              </w:rPr>
              <w:t>integrálása közlekedési módok szerint változik, konkrét hatásuk van a közlekedés hatékonyságára és biztonságára</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color w:val="auto"/>
        </w:rPr>
        <w:t>&lt;Original&gt;</w:t>
      </w:r>
      <w:r w:rsidRPr="008F6B7A">
        <w:rPr>
          <w:rStyle w:val="HideTWBInt"/>
          <w:noProof w:val="0"/>
          <w:color w:val="auto"/>
        </w:rPr>
        <w:t>{RO}</w:t>
      </w:r>
      <w:r w:rsidRPr="008F6B7A">
        <w:rPr>
          <w:noProof w:val="0"/>
        </w:rPr>
        <w:t>ro</w:t>
      </w:r>
      <w:r w:rsidRPr="008F6B7A">
        <w:rPr>
          <w:rStyle w:val="HideTWBExt"/>
          <w:noProof w:val="0"/>
          <w:color w:val="auto"/>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15</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Henna Virkkunen,</w:t>
      </w:r>
      <w:r w:rsidRPr="008F6B7A">
        <w:t xml:space="preserve"> Elissavet 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3a.</w:t>
            </w:r>
            <w:r w:rsidRPr="008F6B7A">
              <w:rPr>
                <w:b/>
                <w:i/>
              </w:rPr>
              <w:tab/>
              <w:t xml:space="preserve">hangsúlyozza, hogy további európai beruházásokra, </w:t>
            </w:r>
            <w:r w:rsidRPr="008F6B7A">
              <w:rPr>
                <w:b/>
                <w:i/>
              </w:rPr>
              <w:t>kutatásra és vezetői szerepvállalásra van szükség a magas gazdasági növekedési hatással és jelentős kettős felhasználási potenciállal egyaránt rendelkező technológiák terén; megjegyzi, hogy tekintettel a globális versenyhelyzetre, ehhez támogató eszközökre</w:t>
            </w:r>
            <w:r w:rsidRPr="008F6B7A">
              <w:rPr>
                <w:b/>
                <w:i/>
              </w:rPr>
              <w:t xml:space="preserve"> és támogató infrastruktúrára lesz szükség, ideértve a hardverek, szoftverek, hálózati erőforrások és szolgáltatások energiával való ellátását, valamint az adatok magas minőségének és mennyiségének biztosítását; hangsúlyozza, hogy az adatok innovatív, ágaz</w:t>
            </w:r>
            <w:r w:rsidRPr="008F6B7A">
              <w:rPr>
                <w:b/>
                <w:i/>
              </w:rPr>
              <w:t>atközi felhasználására és a különböző  ökoszisztémák szereplői közötti együttműködésre van szükség Európa mesterséges intelligencián alapuló ipari bázisának megerősítése érdekében;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16</w:t>
      </w:r>
      <w:r w:rsidRPr="008F6B7A">
        <w:rPr>
          <w:rStyle w:val="HideTWBExt"/>
          <w:b w:val="0"/>
          <w:noProof w:val="0"/>
        </w:rPr>
        <w:t>&lt;</w:t>
      </w:r>
      <w:r w:rsidRPr="008F6B7A">
        <w:rPr>
          <w:rStyle w:val="HideTWBExt"/>
          <w:b w:val="0"/>
          <w:noProof w:val="0"/>
        </w:rPr>
        <w: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3a.</w:t>
            </w:r>
            <w:r w:rsidRPr="008F6B7A">
              <w:rPr>
                <w:b/>
                <w:i/>
              </w:rPr>
              <w:tab/>
              <w:t xml:space="preserve">emlékeztet arra, hogy az emberi tényező még az automatizált </w:t>
            </w:r>
            <w:r w:rsidRPr="008F6B7A">
              <w:rPr>
                <w:b/>
                <w:i/>
              </w:rPr>
              <w:t>folyamatokban is továbbra is fontos szerepet játszik; tudomásul veszi a mesterségesintelligencia-technológiák bevezetése által a gépjárműiparban és a közlekedési ágazat egészében dolgozókra gyakorolt bizonyos hatásokat;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w:t>
      </w:r>
      <w:r w:rsidRPr="008F6B7A">
        <w:rPr>
          <w:rStyle w:val="HideTWBExt"/>
          <w:noProof w:val="0"/>
        </w:rPr>
        <w:t>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17</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Henna Virkkunen, Elissavet 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3 b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3b.</w:t>
            </w:r>
            <w:r w:rsidRPr="008F6B7A">
              <w:rPr>
                <w:b/>
                <w:i/>
              </w:rPr>
              <w:tab/>
              <w:t>hangsúlyozza, hogy a mesterséges intelligencián alapuló megoldások kettős felhasználási potenciálját figyelembe kell venni a mesterséges intelligenciának a kereskedelmi és katonai ágazatok különböző területein történő felha</w:t>
            </w:r>
            <w:r w:rsidRPr="008F6B7A">
              <w:rPr>
                <w:b/>
                <w:i/>
              </w:rPr>
              <w:t>sználására vonatkozó normák kidolgozásakor; kéri, hogy a védelmi technológiák, termékek és működési elvek fejlesztési folyamatába építsenek be magas szintű etikai normákat és politikákat; hangsúlyozza, hogy a mesterséges intelligencián alapuló rendszereket</w:t>
            </w:r>
            <w:r w:rsidRPr="008F6B7A">
              <w:rPr>
                <w:b/>
                <w:i/>
              </w:rPr>
              <w:t xml:space="preserve"> használó személyzetet illetően megfelelő átláthatóságra és kiszámíthatóságra, a technológia megbízhatóságára, magas színvonalú megvalósításra és megfelelő képzésre van szükség;</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18</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Kovařík, Caroline Nagtegaal, Elsi Katainen,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4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4.</w:t>
            </w:r>
            <w:r w:rsidRPr="008F6B7A">
              <w:tab/>
              <w:t xml:space="preserve">emlékeztet rá, hogy az </w:t>
            </w:r>
            <w:r w:rsidRPr="008F6B7A">
              <w:t xml:space="preserve">Európai Vasúti Forgalomirányítási Rendszer (ERTMS), amely mint folyamatos működésű automatikus vonatvédelmi rendszer felváltotta az egymással nem kompatibilis nemzeti rendszereket, előnyöket hozott magával a megbízhatóság, kapacitás, költségek, biztonság, </w:t>
            </w:r>
            <w:r w:rsidRPr="008F6B7A">
              <w:t>sebesség és karbantartás terén; támogatja teljes körű felhasználását és globális automatikus vonatvédelmi rendszerként (ATP) folyamatos telepítését;</w:t>
            </w:r>
          </w:p>
        </w:tc>
        <w:tc>
          <w:tcPr>
            <w:tcW w:w="4876" w:type="dxa"/>
            <w:hideMark/>
          </w:tcPr>
          <w:p w:rsidR="00060590" w:rsidRPr="008F6B7A" w:rsidRDefault="000565EC" w:rsidP="00073109">
            <w:pPr>
              <w:pStyle w:val="Normal6"/>
              <w:rPr>
                <w:szCs w:val="24"/>
              </w:rPr>
            </w:pPr>
            <w:r w:rsidRPr="008F6B7A">
              <w:t>4.</w:t>
            </w:r>
            <w:r w:rsidRPr="008F6B7A">
              <w:tab/>
            </w:r>
            <w:r w:rsidRPr="008F6B7A">
              <w:rPr>
                <w:b/>
                <w:i/>
              </w:rPr>
              <w:t>rámutat arra, hogy a vasúti közlekedés az egyik első olyan ágazat, amely a mesterséges intelligenciára t</w:t>
            </w:r>
            <w:r w:rsidRPr="008F6B7A">
              <w:rPr>
                <w:b/>
                <w:i/>
              </w:rPr>
              <w:t>ámaszkodik annak létrejötte óta;</w:t>
            </w:r>
            <w:r w:rsidRPr="008F6B7A">
              <w:t xml:space="preserve"> emlékeztet rá, hogy az Európai Vasúti Forgalomirányítási Rendszer (ERTMS), amely mint folyamatos működésű automatikus vonatvédelmi rendszer felváltotta az egymással nem kompatibilis nemzeti rendszereket, előnyöket hozott ma</w:t>
            </w:r>
            <w:r w:rsidRPr="008F6B7A">
              <w:t xml:space="preserve">gával a megbízhatóság, kapacitás, költségek, biztonság, sebesség és karbantartás terén; támogatja teljes körű felhasználását és globális automatikus vonatvédelmi rendszerként (ATP) folyamatos telepítését; </w:t>
            </w:r>
            <w:r w:rsidRPr="008F6B7A">
              <w:rPr>
                <w:b/>
                <w:i/>
              </w:rPr>
              <w:t>tudomásul veszi a Shift2Rail közös vállalkozás munk</w:t>
            </w:r>
            <w:r w:rsidRPr="008F6B7A">
              <w:rPr>
                <w:b/>
                <w:i/>
              </w:rPr>
              <w:t>áját;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19</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4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4.</w:t>
            </w:r>
            <w:r w:rsidRPr="008F6B7A">
              <w:tab/>
              <w:t>emlékeztet rá, hogy az Európai Vasúti Forgalomirányítási Rendszer (ERTMS), amely mint folyamatos működésű automatikus vonatvédelmi rendszer felváltotta az egymással nem kompatibilis nemzeti rendszereket, előnyöket hozott magával a megbízhatóság, kapacit</w:t>
            </w:r>
            <w:r w:rsidRPr="008F6B7A">
              <w:t>ás, költségek, biztonság, sebesség és karbantartás terén; támogatja teljes körű felhasználását és globális automatikus vonatvédelmi rendszerként (ATP) folyamatos telepítését;</w:t>
            </w:r>
          </w:p>
        </w:tc>
        <w:tc>
          <w:tcPr>
            <w:tcW w:w="4876" w:type="dxa"/>
            <w:hideMark/>
          </w:tcPr>
          <w:p w:rsidR="00060590" w:rsidRPr="008F6B7A" w:rsidRDefault="000565EC" w:rsidP="00073109">
            <w:pPr>
              <w:pStyle w:val="Normal6"/>
              <w:rPr>
                <w:szCs w:val="24"/>
              </w:rPr>
            </w:pPr>
            <w:r w:rsidRPr="008F6B7A">
              <w:t>4.</w:t>
            </w:r>
            <w:r w:rsidRPr="008F6B7A">
              <w:tab/>
              <w:t>emlékeztet rá, hogy az Európai Vasúti Forgalomirányítási Rendszer (ERTMS), ame</w:t>
            </w:r>
            <w:r w:rsidRPr="008F6B7A">
              <w:t xml:space="preserve">ly mint folyamatos működésű automatikus vonatvédelmi rendszer felváltotta az egymással nem kompatibilis nemzeti rendszereket, </w:t>
            </w:r>
            <w:r w:rsidRPr="008F6B7A">
              <w:rPr>
                <w:b/>
                <w:i/>
              </w:rPr>
              <w:t xml:space="preserve">és amelynek teljes kiépítése kulcsfontosságú az egységes európai vasúti térség kialakítása szempontjából, </w:t>
            </w:r>
            <w:r w:rsidRPr="008F6B7A">
              <w:t>előnyöket hozott magával</w:t>
            </w:r>
            <w:r w:rsidRPr="008F6B7A">
              <w:t xml:space="preserve"> a megbízhatóság, kapacitás, költségek, biztonság, sebesség és karbantartás terén; támogatja teljes körű felhasználását és globális automatikus vonatvédelmi rendszerként (ATP) folyamatos telepítését;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20</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 Josianne Cutajar</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5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5.</w:t>
            </w:r>
            <w:r w:rsidRPr="008F6B7A">
              <w:tab/>
              <w:t xml:space="preserve">támogatja a vonatokkal végzett </w:t>
            </w:r>
            <w:r w:rsidRPr="008F6B7A">
              <w:t>műveletek automatizálásának fejlesztését és nemzetközi szabványosítását; ösztönzi a résidők automatizált kiosztásának fejlesztését a különböző közlekedési módok tekintetében, valamint az MI felhasználását a logisztikában és a közlekedés más területein;</w:t>
            </w:r>
          </w:p>
        </w:tc>
        <w:tc>
          <w:tcPr>
            <w:tcW w:w="4876" w:type="dxa"/>
            <w:hideMark/>
          </w:tcPr>
          <w:p w:rsidR="00060590" w:rsidRPr="008F6B7A" w:rsidRDefault="000565EC" w:rsidP="00073109">
            <w:pPr>
              <w:pStyle w:val="Normal6"/>
              <w:rPr>
                <w:szCs w:val="24"/>
              </w:rPr>
            </w:pPr>
            <w:r w:rsidRPr="008F6B7A">
              <w:t>5.</w:t>
            </w:r>
            <w:r w:rsidRPr="008F6B7A">
              <w:tab/>
            </w:r>
            <w:r w:rsidRPr="008F6B7A">
              <w:t>támogatja a vonatokkal végzett műveletek automatizálásának fejlesztését és nemzetközi szabványosítását; ösztönzi a résidők automatizált kiosztásának fejlesztését a különböző közlekedési módok tekintetében, valamint az MI felhasználását a logisztikában és a</w:t>
            </w:r>
            <w:r w:rsidRPr="008F6B7A">
              <w:t xml:space="preserve"> közlekedés más területein; </w:t>
            </w:r>
            <w:r w:rsidRPr="008F6B7A">
              <w:rPr>
                <w:b/>
                <w:i/>
              </w:rPr>
              <w:t>hangsúlyozza az interoperabilitás és a multimodalitás európai és nemzetközi szintű bővítésének fontosságát a különböző szállítási módok optimális ötvözése, valamint a teljes szállítási és logisztikai értéklánc megfelelő működésé</w:t>
            </w:r>
            <w:r w:rsidRPr="008F6B7A">
              <w:rPr>
                <w:b/>
                <w:i/>
              </w:rPr>
              <w:t>nek és biztonságának biztosítása érdekében;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Josianne Cutajar, Isabel García Muñoz, Sara Cerdas</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w:t>
      </w:r>
      <w:r w:rsidRPr="008F6B7A">
        <w:rPr>
          <w:rStyle w:val="HideTWBExt"/>
          <w:b w:val="0"/>
          <w:noProof w:val="0"/>
        </w:rPr>
        <w:t>cAmend&gt;</w:t>
      </w:r>
    </w:p>
    <w:p w:rsidR="00060590" w:rsidRPr="008F6B7A" w:rsidRDefault="000565EC" w:rsidP="00060590">
      <w:pPr>
        <w:pStyle w:val="NormalBold"/>
      </w:pPr>
      <w:r w:rsidRPr="008F6B7A">
        <w:rPr>
          <w:rStyle w:val="HideTWBExt"/>
          <w:b w:val="0"/>
          <w:noProof w:val="0"/>
        </w:rPr>
        <w:t>&lt;Article&gt;</w:t>
      </w:r>
      <w:r w:rsidRPr="008F6B7A">
        <w:t>5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5.</w:t>
            </w:r>
            <w:r w:rsidRPr="008F6B7A">
              <w:tab/>
              <w:t>támogatja a vonatokkal végzett műveletek automatizálásának fejlesztését és nemzetközi szabványosítását; ösztönzi a résidők automatizált kiosztásának fejlesztését a különböző közlekedési</w:t>
            </w:r>
            <w:r w:rsidRPr="008F6B7A">
              <w:t xml:space="preserve"> módok tekintetében, valamint az MI felhasználását a logisztikában és a közlekedés más területein;</w:t>
            </w:r>
          </w:p>
        </w:tc>
        <w:tc>
          <w:tcPr>
            <w:tcW w:w="4876" w:type="dxa"/>
            <w:hideMark/>
          </w:tcPr>
          <w:p w:rsidR="00060590" w:rsidRPr="008F6B7A" w:rsidRDefault="000565EC" w:rsidP="00073109">
            <w:pPr>
              <w:pStyle w:val="Normal6"/>
              <w:rPr>
                <w:szCs w:val="24"/>
              </w:rPr>
            </w:pPr>
            <w:r w:rsidRPr="008F6B7A">
              <w:t>5.</w:t>
            </w:r>
            <w:r w:rsidRPr="008F6B7A">
              <w:tab/>
              <w:t>támogatja a vonatokkal végzett műveletek automatizálásának fejlesztését és nemzetközi szabványosítását; ösztönzi a résidők automatizált kiosztásának fejle</w:t>
            </w:r>
            <w:r w:rsidRPr="008F6B7A">
              <w:t>sztését a különböző közlekedési módok tekintetében, valamint az MI felhasználását a logisztikában és a közlekedés más területein</w:t>
            </w:r>
            <w:r w:rsidRPr="008F6B7A">
              <w:rPr>
                <w:b/>
                <w:i/>
              </w:rPr>
              <w:t>, minden esetben tiszteletben tartva az EUMSZ 191. cikkében foglalt elővigyázatossági elvet</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w:t>
      </w:r>
      <w:r w:rsidRPr="008F6B7A">
        <w:rPr>
          <w:rStyle w:val="HideTWBExt"/>
          <w:noProof w:val="0"/>
        </w:rPr>
        <w: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5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5.</w:t>
            </w:r>
            <w:r w:rsidRPr="008F6B7A">
              <w:tab/>
            </w:r>
            <w:r w:rsidRPr="008F6B7A">
              <w:t>támogatja a vonatokkal végzett műveletek automatizálásának fejlesztését és nemzetközi szabványosítását; ösztönzi a résidők automatizált kiosztásának fejlesztését a különböző közlekedési módok tekintetében, valamint az MI felhasználását a logisztikában és a</w:t>
            </w:r>
            <w:r w:rsidRPr="008F6B7A">
              <w:t xml:space="preserve"> közlekedés más területein;</w:t>
            </w:r>
          </w:p>
        </w:tc>
        <w:tc>
          <w:tcPr>
            <w:tcW w:w="4876" w:type="dxa"/>
            <w:hideMark/>
          </w:tcPr>
          <w:p w:rsidR="00060590" w:rsidRPr="008F6B7A" w:rsidRDefault="000565EC" w:rsidP="00073109">
            <w:pPr>
              <w:pStyle w:val="Normal6"/>
              <w:rPr>
                <w:szCs w:val="24"/>
              </w:rPr>
            </w:pPr>
            <w:r w:rsidRPr="008F6B7A">
              <w:t>5.</w:t>
            </w:r>
            <w:r w:rsidRPr="008F6B7A">
              <w:tab/>
              <w:t>támogatja a vonatokkal végzett műveletek automatizálásának fejlesztését és nemzetközi szabványosítását; ösztönzi a résidők automatizált kiosztásának fejlesztését a különböző közlekedési módok tekintetében, valamint az MI felh</w:t>
            </w:r>
            <w:r w:rsidRPr="008F6B7A">
              <w:t>asználását a logisztikában és a közlekedés más területein</w:t>
            </w:r>
            <w:r w:rsidRPr="008F6B7A">
              <w:rPr>
                <w:b/>
                <w:i/>
              </w:rPr>
              <w:t>, különösen határon átnyúló viszonylatokban, amennyiben a nemzeti infrastruktúrák lehetővé teszik</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color w:val="auto"/>
        </w:rPr>
        <w:t>&lt;Amend&gt;</w:t>
      </w:r>
      <w:r w:rsidRPr="008F6B7A">
        <w:t>Módosítás</w:t>
      </w:r>
      <w:r w:rsidRPr="008F6B7A">
        <w:tab/>
      </w:r>
      <w:r w:rsidRPr="008F6B7A">
        <w:tab/>
      </w:r>
      <w:r w:rsidRPr="008F6B7A">
        <w:rPr>
          <w:rStyle w:val="HideTWBExt"/>
          <w:b w:val="0"/>
          <w:noProof w:val="0"/>
          <w:color w:val="auto"/>
        </w:rPr>
        <w:t>&lt;NumAm&gt;</w:t>
      </w:r>
      <w:r w:rsidRPr="008F6B7A">
        <w:t>23</w:t>
      </w:r>
      <w:r w:rsidRPr="008F6B7A">
        <w:rPr>
          <w:rStyle w:val="HideTWBExt"/>
          <w:b w:val="0"/>
          <w:noProof w:val="0"/>
          <w:color w:val="auto"/>
        </w:rPr>
        <w:t>&lt;/NumAm&gt;</w:t>
      </w:r>
    </w:p>
    <w:p w:rsidR="00060590" w:rsidRPr="008F6B7A" w:rsidRDefault="000565EC" w:rsidP="00060590">
      <w:pPr>
        <w:pStyle w:val="NormalBold"/>
      </w:pPr>
      <w:r w:rsidRPr="008F6B7A">
        <w:rPr>
          <w:rStyle w:val="HideTWBExt"/>
          <w:b w:val="0"/>
          <w:noProof w:val="0"/>
          <w:color w:val="auto"/>
        </w:rPr>
        <w:t>&lt;RepeatBlock-By&gt;&lt;Membe</w:t>
      </w:r>
      <w:r w:rsidRPr="008F6B7A">
        <w:rPr>
          <w:rStyle w:val="HideTWBExt"/>
          <w:b w:val="0"/>
          <w:noProof w:val="0"/>
          <w:color w:val="auto"/>
        </w:rPr>
        <w:t>rs&gt;</w:t>
      </w:r>
      <w:r w:rsidRPr="008F6B7A">
        <w:t>Maria Grapini</w:t>
      </w:r>
      <w:r w:rsidRPr="008F6B7A">
        <w:rPr>
          <w:rStyle w:val="HideTWBExt"/>
          <w:b w:val="0"/>
          <w:noProof w:val="0"/>
          <w:color w:val="auto"/>
        </w:rPr>
        <w:t>&lt;/Members&gt;</w:t>
      </w:r>
    </w:p>
    <w:p w:rsidR="00060590" w:rsidRPr="008F6B7A" w:rsidRDefault="000565EC" w:rsidP="00060590">
      <w:r w:rsidRPr="008F6B7A">
        <w:rPr>
          <w:rStyle w:val="HideTWBExt"/>
          <w:noProof w:val="0"/>
          <w:color w:val="auto"/>
        </w:rPr>
        <w:t>&lt;/RepeatBlock-By&gt;</w:t>
      </w:r>
    </w:p>
    <w:p w:rsidR="00060590" w:rsidRPr="008F6B7A" w:rsidRDefault="000565EC" w:rsidP="00060590">
      <w:pPr>
        <w:pStyle w:val="NormalBold"/>
        <w:keepNext/>
      </w:pPr>
      <w:r w:rsidRPr="008F6B7A">
        <w:rPr>
          <w:rStyle w:val="HideTWBExt"/>
          <w:b w:val="0"/>
          <w:noProof w:val="0"/>
          <w:color w:val="auto"/>
        </w:rPr>
        <w:t>&lt;DocAmend&gt;</w:t>
      </w:r>
      <w:r w:rsidRPr="008F6B7A">
        <w:t>Véleménytervezet</w:t>
      </w:r>
      <w:r w:rsidRPr="008F6B7A">
        <w:rPr>
          <w:rStyle w:val="HideTWBExt"/>
          <w:b w:val="0"/>
          <w:noProof w:val="0"/>
          <w:color w:val="auto"/>
        </w:rPr>
        <w:t>&lt;/DocAmend&gt;</w:t>
      </w:r>
    </w:p>
    <w:p w:rsidR="00060590" w:rsidRPr="008F6B7A" w:rsidRDefault="000565EC" w:rsidP="00060590">
      <w:pPr>
        <w:pStyle w:val="NormalBold"/>
      </w:pPr>
      <w:r w:rsidRPr="008F6B7A">
        <w:rPr>
          <w:rStyle w:val="HideTWBExt"/>
          <w:b w:val="0"/>
          <w:noProof w:val="0"/>
          <w:color w:val="auto"/>
        </w:rPr>
        <w:t>&lt;Article&gt;</w:t>
      </w:r>
      <w:r w:rsidRPr="008F6B7A">
        <w:t>5 bekezdés</w:t>
      </w:r>
      <w:r w:rsidRPr="008F6B7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5.</w:t>
            </w:r>
            <w:r w:rsidRPr="008F6B7A">
              <w:tab/>
              <w:t xml:space="preserve">támogatja a vonatokkal végzett műveletek automatizálásának fejlesztését és nemzetközi szabványosítását; </w:t>
            </w:r>
            <w:r w:rsidRPr="008F6B7A">
              <w:t>ösztönzi a résidők automatizált kiosztásának fejlesztését a különböző közlekedési módok tekintetében, valamint az MI felhasználását a logisztikában és a közlekedés más területein;</w:t>
            </w:r>
          </w:p>
        </w:tc>
        <w:tc>
          <w:tcPr>
            <w:tcW w:w="4876" w:type="dxa"/>
            <w:hideMark/>
          </w:tcPr>
          <w:p w:rsidR="00060590" w:rsidRPr="008F6B7A" w:rsidRDefault="000565EC" w:rsidP="00073109">
            <w:pPr>
              <w:pStyle w:val="Normal6"/>
              <w:rPr>
                <w:szCs w:val="24"/>
              </w:rPr>
            </w:pPr>
            <w:r w:rsidRPr="008F6B7A">
              <w:t>5.</w:t>
            </w:r>
            <w:r w:rsidRPr="008F6B7A">
              <w:tab/>
              <w:t>támogatja a vonatokkal végzett műveletek automatizálásának fejlesztését é</w:t>
            </w:r>
            <w:r w:rsidRPr="008F6B7A">
              <w:t>s nemzetközi szabványosítását; ösztönzi a résidők automatizált kiosztásának fejlesztését a különböző közlekedési módok tekintetében, valamint az MI felhasználását a logisztikában és a közlekedés más területein</w:t>
            </w:r>
            <w:r w:rsidRPr="008F6B7A">
              <w:rPr>
                <w:b/>
                <w:i/>
              </w:rPr>
              <w:t xml:space="preserve"> a közlekedés biztonsága és hatékonysága növelé</w:t>
            </w:r>
            <w:r w:rsidRPr="008F6B7A">
              <w:rPr>
                <w:b/>
                <w:i/>
              </w:rPr>
              <w:t>se érdekében</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color w:val="auto"/>
        </w:rPr>
        <w:t>&lt;Original&gt;</w:t>
      </w:r>
      <w:r w:rsidRPr="008F6B7A">
        <w:rPr>
          <w:rStyle w:val="HideTWBInt"/>
          <w:noProof w:val="0"/>
          <w:color w:val="auto"/>
        </w:rPr>
        <w:t>{RO}</w:t>
      </w:r>
      <w:r w:rsidRPr="008F6B7A">
        <w:rPr>
          <w:noProof w:val="0"/>
        </w:rPr>
        <w:t>ro</w:t>
      </w:r>
      <w:r w:rsidRPr="008F6B7A">
        <w:rPr>
          <w:rStyle w:val="HideTWBExt"/>
          <w:noProof w:val="0"/>
          <w:color w:val="auto"/>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24</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 Josianne Cutajar</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6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6.</w:t>
            </w:r>
            <w:r w:rsidRPr="008F6B7A">
              <w:tab/>
              <w:t xml:space="preserve">üdvözli az „Egységes európai égbolt” légiforgalmi szolgáltatási kutatási projekt (SESAR) tevékenységét a pilóta nélküli légijármű-rendszerek és a légiforgalmi szolgáltatási rendszerek vonatkozásában, mind polgári, mind </w:t>
            </w:r>
            <w:r w:rsidRPr="008F6B7A">
              <w:t xml:space="preserve">katonai területen; hangsúlyozza, hogy a globális interoperabilitás és harmonizáció elengedhetetlen feltétele a biztonságos, funkcionális és védett globális légiforgalom-irányítási rendszernek; ösztönzi a Bizottságot és a tagállamokat, hogy mozdítsák elő a </w:t>
            </w:r>
            <w:r w:rsidRPr="008F6B7A">
              <w:t>SESAR-ral kapcsolatos hazai munkákat, valamint járuljanak hozzá a nemzetközi szervezetek – mint az ICAO vagy a IATA – tevékenységéhez e tekintetben;</w:t>
            </w:r>
          </w:p>
        </w:tc>
        <w:tc>
          <w:tcPr>
            <w:tcW w:w="4876" w:type="dxa"/>
            <w:hideMark/>
          </w:tcPr>
          <w:p w:rsidR="00060590" w:rsidRPr="008F6B7A" w:rsidRDefault="000565EC" w:rsidP="00060590">
            <w:pPr>
              <w:pStyle w:val="Normal6"/>
              <w:rPr>
                <w:szCs w:val="24"/>
              </w:rPr>
            </w:pPr>
            <w:r w:rsidRPr="008F6B7A">
              <w:t>6.</w:t>
            </w:r>
            <w:r w:rsidRPr="008F6B7A">
              <w:tab/>
              <w:t>üdvözli az „Egységes európai égbolt” légiforgalmi szolgáltatási kutatási projekt (SESAR) tevékenységét a</w:t>
            </w:r>
            <w:r w:rsidRPr="008F6B7A">
              <w:t xml:space="preserve"> pilóta nélküli légijármű-rendszerek és a légiforgalmi szolgáltatási rendszerek vonatkozásában, mind polgári, mind katonai területen; </w:t>
            </w:r>
            <w:r w:rsidRPr="008F6B7A">
              <w:rPr>
                <w:b/>
                <w:i/>
              </w:rPr>
              <w:t xml:space="preserve">emlékeztet arra, hogy az egységes európai égbolt keretrendszer széttöredezettségének leküzdéséhez elengedhetetlen a SESAR </w:t>
            </w:r>
            <w:r w:rsidRPr="008F6B7A">
              <w:rPr>
                <w:b/>
                <w:i/>
              </w:rPr>
              <w:t>támogatása;</w:t>
            </w:r>
            <w:r w:rsidRPr="008F6B7A">
              <w:t xml:space="preserve"> hangsúlyozza, hogy a globális interoperabilitás és harmonizáció</w:t>
            </w:r>
            <w:r w:rsidRPr="008F6B7A">
              <w:rPr>
                <w:b/>
                <w:i/>
              </w:rPr>
              <w:t>, valamint az európai és nemzetközi szinten bevált gyakorlatok és tapasztalatok cseréje</w:t>
            </w:r>
            <w:r w:rsidRPr="008F6B7A">
              <w:t xml:space="preserve"> elengedhetetlen feltétele a biztonságos, funkcionális és védett globális légiforgalom-irányít</w:t>
            </w:r>
            <w:r w:rsidRPr="008F6B7A">
              <w:t>ási rendszernek; ösztönzi a Bizottságot és a tagállamokat, hogy mozdítsák elő a SESAR-ral kapcsolatos hazai munkákat, valamint járuljanak hozzá a nemzetközi szervezetek – mint az ICAO vagy a IATA – tevékenységéhez e tekintetben;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w:t>
      </w:r>
      <w:r w:rsidRPr="008F6B7A">
        <w:rPr>
          <w:rStyle w:val="HideTWBExt"/>
          <w:noProof w:val="0"/>
        </w:rPr>
        <w: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25</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6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6.</w:t>
            </w:r>
            <w:r w:rsidRPr="008F6B7A">
              <w:tab/>
              <w:t xml:space="preserve">üdvözli az „Egységes európai </w:t>
            </w:r>
            <w:r w:rsidRPr="008F6B7A">
              <w:t>égbolt” légiforgalmi szolgáltatási kutatási projekt (SESAR) tevékenységét a pilóta nélküli légijármű-rendszerek és a légiforgalmi szolgáltatási rendszerek vonatkozásában, mind polgári, mind katonai területen; hangsúlyozza, hogy a globális interoperabilitás</w:t>
            </w:r>
            <w:r w:rsidRPr="008F6B7A">
              <w:t xml:space="preserve"> és harmonizáció elengedhetetlen feltétele a biztonságos, funkcionális és védett globális légiforgalom-irányítási rendszernek; ösztönzi a Bizottságot és a tagállamokat, hogy mozdítsák elő a SESAR-ral kapcsolatos hazai munkákat, valamint járuljanak hozzá a </w:t>
            </w:r>
            <w:r w:rsidRPr="008F6B7A">
              <w:t>nemzetközi szervezetek – mint az ICAO vagy a IATA – tevékenységéhez e tekintetben;</w:t>
            </w:r>
          </w:p>
        </w:tc>
        <w:tc>
          <w:tcPr>
            <w:tcW w:w="4876" w:type="dxa"/>
            <w:hideMark/>
          </w:tcPr>
          <w:p w:rsidR="00060590" w:rsidRPr="008F6B7A" w:rsidRDefault="000565EC" w:rsidP="00073109">
            <w:pPr>
              <w:pStyle w:val="Normal6"/>
              <w:rPr>
                <w:szCs w:val="24"/>
              </w:rPr>
            </w:pPr>
            <w:r w:rsidRPr="008F6B7A">
              <w:t>6.</w:t>
            </w:r>
            <w:r w:rsidRPr="008F6B7A">
              <w:tab/>
              <w:t>üdvözli az „Egységes európai égbolt” légiforgalmi szolgáltatási kutatási projekt (SESAR) tevékenységét a pilóta nélküli légijármű-rendszerek és a légiforgalmi szolgáltatá</w:t>
            </w:r>
            <w:r w:rsidRPr="008F6B7A">
              <w:t xml:space="preserve">si rendszerek vonatkozásában, mind polgári, mind katonai területen; hangsúlyozza, hogy a </w:t>
            </w:r>
            <w:r w:rsidRPr="008F6B7A">
              <w:rPr>
                <w:b/>
                <w:i/>
              </w:rPr>
              <w:t xml:space="preserve">technikai szintű </w:t>
            </w:r>
            <w:r w:rsidRPr="008F6B7A">
              <w:t>globális interoperabilitás és harmonizáció elengedhetetlen feltétele a biztonságos, funkcionális és védett globális légiforgalom-irányítási rendszerne</w:t>
            </w:r>
            <w:r w:rsidRPr="008F6B7A">
              <w:t>k; ösztönzi a Bizottságot és a tagállamokat, hogy mozdítsák elő a SESAR-ral kapcsolatos hazai munkákat, valamint járuljanak hozzá a nemzetközi szervezetek – mint az ICAO vagy a IATA – tevékenységéhez e tekintetben;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26</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Josianne Cutajar, Isabel García Muñoz, Sara Cerdas, Maria Grapini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6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7C4967">
            <w:pPr>
              <w:pStyle w:val="Normal6"/>
              <w:rPr>
                <w:szCs w:val="24"/>
              </w:rPr>
            </w:pPr>
            <w:r w:rsidRPr="008F6B7A">
              <w:rPr>
                <w:b/>
                <w:i/>
              </w:rPr>
              <w:t>6a.</w:t>
            </w:r>
            <w:r w:rsidRPr="008F6B7A">
              <w:rPr>
                <w:b/>
                <w:i/>
              </w:rPr>
              <w:tab/>
              <w:t>emlékeztet arra, hogy a pilóta nélküli légi járművek – közismert néven drónok – polgári és katonai célú felhasználása egyaránt növekedett; kiemeli többek között a drónnal történő szállítás, ellenőrzés és felügyelet által a polgárok és a tár</w:t>
            </w:r>
            <w:r w:rsidRPr="008F6B7A">
              <w:rPr>
                <w:b/>
                <w:i/>
              </w:rPr>
              <w:t xml:space="preserve">sadalom számára kínált lehetőségeket; sürgeti az EU-t, hogy nemzetközi szinten működjön együtt a drónok polgári és katonai célú használatára vonatkozó két külön nemzetközi normarendszer kidolgozása érdekében; hangsúlyozza, hogy az EU-nak normatív szerepre </w:t>
            </w:r>
            <w:r w:rsidRPr="008F6B7A">
              <w:rPr>
                <w:b/>
                <w:i/>
              </w:rPr>
              <w:t>kell törekednie az UAV-jogszabályokra vonatkozóan, tiszteletben tartva a Szerződésekben foglalt értékeket;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27</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Kovařík, Caroline Nagtegaal, Elsi Katai</w:t>
      </w:r>
      <w:r w:rsidRPr="008F6B7A">
        <w:t>nen,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6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6a.</w:t>
            </w:r>
            <w:r w:rsidRPr="008F6B7A">
              <w:rPr>
                <w:b/>
                <w:i/>
              </w:rPr>
              <w:tab/>
            </w:r>
            <w:r w:rsidRPr="008F6B7A">
              <w:rPr>
                <w:b/>
                <w:i/>
              </w:rPr>
              <w:t>emlékeztet arra, hogy az önvezető járművekben nagy lehetőségek rejlenek a mobilitás és a biztonság javítására, és környezeti előnyökkel járnak; üdvözli e tekintetben az ENSZ EGB Járműelőírások Harmonizálása Világfórumát, amely elfogadta az automatizált jár</w:t>
            </w:r>
            <w:r w:rsidRPr="008F6B7A">
              <w:rPr>
                <w:b/>
                <w:i/>
              </w:rPr>
              <w:t>művekre vonatkozó keretdokumentumot; tudomásul veszi a Nemzetközi Szabványügyi Szervezet mesterséges intelligenciával foglalkozó új műszaki bizottságának munkáját;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28</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w:t>
      </w:r>
      <w:r w:rsidRPr="008F6B7A">
        <w:rPr>
          <w:rStyle w:val="HideTWBExt"/>
          <w:b w:val="0"/>
          <w:noProof w:val="0"/>
        </w:rPr>
        <w:t>RepeatBlock-By&gt;&lt;Members&gt;</w:t>
      </w:r>
      <w:r w:rsidRPr="008F6B7A">
        <w:t>Ondřej Kovařík, Caroline Nagtegaal, Elsi Katainen,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6 b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6b.</w:t>
            </w:r>
            <w:r w:rsidRPr="008F6B7A">
              <w:rPr>
                <w:b/>
                <w:i/>
              </w:rPr>
              <w:tab/>
              <w:t xml:space="preserve">felhívja az </w:t>
            </w:r>
            <w:r w:rsidRPr="008F6B7A">
              <w:rPr>
                <w:b/>
                <w:i/>
              </w:rPr>
              <w:t>Európai Bizottságot, hogy javasoljon hatékony megközelítést a járművezető fogalma, valamint a felelősségi és elszámoltathatósági kérdések egyértelmű nemzetközi jogi kerete biztosítása érdekében az ENSZ-egyezményeknek és más nemzetközi közlekedési jogszabál</w:t>
            </w:r>
            <w:r w:rsidRPr="008F6B7A">
              <w:rPr>
                <w:b/>
                <w:i/>
              </w:rPr>
              <w:t>yoknak megfelelően;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29</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7.</w:t>
            </w:r>
            <w:r w:rsidRPr="008F6B7A">
              <w:tab/>
              <w:t xml:space="preserve">felhívja a Bizottságot és a tagállamokat, hogy vegyenek részt az önvezető járművekkel kapcsolatos nemzetközi szabályozási tevékenységben és vitákban, különösen a biztonságra vonatkozóan, egyszersmind gondot fordítva a szabályozók és a </w:t>
            </w:r>
            <w:r w:rsidRPr="008F6B7A">
              <w:rPr>
                <w:b/>
                <w:i/>
              </w:rPr>
              <w:t>járműgy</w:t>
            </w:r>
            <w:r w:rsidRPr="008F6B7A">
              <w:rPr>
                <w:b/>
                <w:i/>
              </w:rPr>
              <w:t>ártók</w:t>
            </w:r>
            <w:r w:rsidRPr="008F6B7A">
              <w:t xml:space="preserve"> közötti együttműködésre az önvezető járművek uniós közúti forgalomba való bevezetése terén; felhív a betáplált földrajzi adatok szabványosítására, és </w:t>
            </w:r>
            <w:r w:rsidRPr="008F6B7A">
              <w:rPr>
                <w:b/>
                <w:i/>
              </w:rPr>
              <w:t>rámutat ezen</w:t>
            </w:r>
            <w:r w:rsidRPr="008F6B7A">
              <w:t xml:space="preserve"> adatok pontosságának</w:t>
            </w:r>
            <w:r w:rsidRPr="008F6B7A">
              <w:rPr>
                <w:b/>
                <w:i/>
              </w:rPr>
              <w:t xml:space="preserve"> fontosságára</w:t>
            </w:r>
            <w:r w:rsidRPr="008F6B7A">
              <w:t>;</w:t>
            </w:r>
          </w:p>
        </w:tc>
        <w:tc>
          <w:tcPr>
            <w:tcW w:w="4876" w:type="dxa"/>
            <w:hideMark/>
          </w:tcPr>
          <w:p w:rsidR="00060590" w:rsidRPr="008F6B7A" w:rsidRDefault="000565EC" w:rsidP="00073109">
            <w:pPr>
              <w:pStyle w:val="Normal6"/>
              <w:rPr>
                <w:szCs w:val="24"/>
              </w:rPr>
            </w:pPr>
            <w:r w:rsidRPr="008F6B7A">
              <w:t>7.</w:t>
            </w:r>
            <w:r w:rsidRPr="008F6B7A">
              <w:tab/>
              <w:t>felhívja a Bizottságot és a tagállamokat, hogy ve</w:t>
            </w:r>
            <w:r w:rsidRPr="008F6B7A">
              <w:t xml:space="preserve">gyenek részt az önvezető járművekkel kapcsolatos nemzetközi szabályozási tevékenységben és vitákban, különösen a biztonságra </w:t>
            </w:r>
            <w:r w:rsidRPr="008F6B7A">
              <w:rPr>
                <w:b/>
                <w:i/>
              </w:rPr>
              <w:t xml:space="preserve">és a felelősségre </w:t>
            </w:r>
            <w:r w:rsidRPr="008F6B7A">
              <w:t>vonatkozóan, egyszersmind gondot fordítva a szabályozók</w:t>
            </w:r>
            <w:r w:rsidRPr="008F6B7A">
              <w:rPr>
                <w:b/>
                <w:i/>
              </w:rPr>
              <w:t>, a járműgyártók</w:t>
            </w:r>
            <w:r w:rsidRPr="008F6B7A">
              <w:t xml:space="preserve"> és a </w:t>
            </w:r>
            <w:r w:rsidRPr="008F6B7A">
              <w:rPr>
                <w:b/>
                <w:i/>
              </w:rPr>
              <w:t>közlekedésbiztonsági szervezetek</w:t>
            </w:r>
            <w:r w:rsidRPr="008F6B7A">
              <w:t xml:space="preserve"> köz</w:t>
            </w:r>
            <w:r w:rsidRPr="008F6B7A">
              <w:t>ötti együttműködésre az önvezető járművek uniós közúti forgalomba való bevezetése terén; felhív a betáplált földrajzi adatok szabványosítására</w:t>
            </w:r>
            <w:r w:rsidRPr="008F6B7A">
              <w:rPr>
                <w:b/>
                <w:i/>
              </w:rPr>
              <w:t xml:space="preserve"> és interoperabilitására</w:t>
            </w:r>
            <w:r w:rsidRPr="008F6B7A">
              <w:t xml:space="preserve">, és </w:t>
            </w:r>
            <w:r w:rsidRPr="008F6B7A">
              <w:rPr>
                <w:b/>
                <w:i/>
              </w:rPr>
              <w:t>hangsúlyozza az ilyen</w:t>
            </w:r>
            <w:r w:rsidRPr="008F6B7A">
              <w:t xml:space="preserve"> adatok pontosságának</w:t>
            </w:r>
            <w:r w:rsidRPr="008F6B7A">
              <w:rPr>
                <w:b/>
                <w:i/>
              </w:rPr>
              <w:t xml:space="preserve">, valamint az adatok biztonságos és anonim </w:t>
            </w:r>
            <w:r w:rsidRPr="008F6B7A">
              <w:rPr>
                <w:b/>
                <w:i/>
              </w:rPr>
              <w:t>továbbításának szükségességét az (EU) 2016/679 európai parlamenti és tanácsi rendelettel összhangban;</w:t>
            </w:r>
            <w:r w:rsidRPr="008F6B7A">
              <w:t xml:space="preserve"> </w:t>
            </w:r>
            <w:r w:rsidRPr="008F6B7A">
              <w:rPr>
                <w:b/>
                <w:i/>
              </w:rPr>
              <w:t xml:space="preserve">kiemeli az etikai és szabályozási keret fontosságát, amelynek rendelkezéseket kell magában foglalnia többek között az algoritmikus rendszerekben használt </w:t>
            </w:r>
            <w:r w:rsidRPr="008F6B7A">
              <w:rPr>
                <w:b/>
                <w:i/>
              </w:rPr>
              <w:t>adatkészletek minőségét, az adatkészletek torzításainak megszüntetését, magukat az algoritmusokat, valamint az adatokat és az aggregálásukra vonatkozó normákat illetően;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30</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w:t>
      </w:r>
      <w:r w:rsidRPr="008F6B7A">
        <w:rPr>
          <w:rStyle w:val="HideTWBExt"/>
          <w:b w:val="0"/>
          <w:noProof w:val="0"/>
        </w:rPr>
        <w:t>lock-By&gt;&lt;Members&gt;</w:t>
      </w:r>
      <w:r w:rsidRPr="008F6B7A">
        <w:t>Julie Lechanteux, Philippe Olivier</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7.</w:t>
            </w:r>
            <w:r w:rsidRPr="008F6B7A">
              <w:tab/>
            </w:r>
            <w:r w:rsidRPr="008F6B7A">
              <w:t xml:space="preserve">felhívja a Bizottságot és a tagállamokat, hogy vegyenek részt az önvezető járművekkel kapcsolatos nemzetközi szabályozási tevékenységben és vitákban, különösen a biztonságra vonatkozóan, egyszersmind gondot fordítva a szabályozók és a járműgyártók közötti </w:t>
            </w:r>
            <w:r w:rsidRPr="008F6B7A">
              <w:t>együttműködésre az önvezető járművek uniós közúti forgalomba való bevezetése terén; felhív a betáplált földrajzi adatok szabványosítására, és rámutat ezen adatok pontosságának fontosságára;</w:t>
            </w:r>
          </w:p>
        </w:tc>
        <w:tc>
          <w:tcPr>
            <w:tcW w:w="4876" w:type="dxa"/>
            <w:hideMark/>
          </w:tcPr>
          <w:p w:rsidR="00060590" w:rsidRPr="008F6B7A" w:rsidRDefault="000565EC" w:rsidP="00060590">
            <w:pPr>
              <w:pStyle w:val="Normal6"/>
              <w:rPr>
                <w:szCs w:val="24"/>
              </w:rPr>
            </w:pPr>
            <w:r w:rsidRPr="008F6B7A">
              <w:t>7.</w:t>
            </w:r>
            <w:r w:rsidRPr="008F6B7A">
              <w:tab/>
              <w:t>felhívja a Bizottságot és a tagállamokat, hogy vegyenek részt a</w:t>
            </w:r>
            <w:r w:rsidRPr="008F6B7A">
              <w:t>z önvezető járművekkel kapcsolatos nemzetközi szabályozási tevékenységben és vitákban, különösen a biztonságra vonatkozóan, egyszersmind gondot fordítva a szabályozók és a járműgyártók közötti együttműködésre az önvezető járművek uniós közúti forgalomba va</w:t>
            </w:r>
            <w:r w:rsidRPr="008F6B7A">
              <w:t xml:space="preserve">ló bevezetése terén; felhív a betáplált földrajzi adatok szabványosítására, és rámutat ezen adatok pontosságának fontosságára; </w:t>
            </w:r>
            <w:r w:rsidRPr="008F6B7A">
              <w:rPr>
                <w:b/>
                <w:i/>
              </w:rPr>
              <w:t>felhívja továbbá a Bizottságot, hogy rendszeresen konzultáljon az önvezető járművek gyártóival, és vegye figyelembe azokat a tény</w:t>
            </w:r>
            <w:r w:rsidRPr="008F6B7A">
              <w:rPr>
                <w:b/>
                <w:i/>
              </w:rPr>
              <w:t>ezőket és jogi szempontokat, amelyeket az gyártók az automatizált járművek uniós utakon való bevezetésével összefüggésben korlátozó jellegűnek tartanak;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{FR}</w:t>
      </w:r>
      <w:r w:rsidRPr="008F6B7A">
        <w:rPr>
          <w:noProof w:val="0"/>
        </w:rPr>
        <w:t>fr</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7.</w:t>
            </w:r>
            <w:r w:rsidRPr="008F6B7A">
              <w:tab/>
              <w:t>felhívja a Bizottságot és a tagállamokat, hogy vegyenek részt az önvezető járművekkel kapcsolatos nemzetközi s</w:t>
            </w:r>
            <w:r w:rsidRPr="008F6B7A">
              <w:t>zabályozási tevékenységben és vitákban, különösen a biztonságra vonatkozóan, egyszersmind gondot fordítva a szabályozók és a járműgyártók közötti együttműködésre az önvezető járművek uniós közúti forgalomba való bevezetése terén; felhív a betáplált földraj</w:t>
            </w:r>
            <w:r w:rsidRPr="008F6B7A">
              <w:t xml:space="preserve">zi adatok </w:t>
            </w:r>
            <w:r w:rsidRPr="008F6B7A">
              <w:rPr>
                <w:b/>
                <w:i/>
              </w:rPr>
              <w:t>szabványosítására</w:t>
            </w:r>
            <w:r w:rsidRPr="008F6B7A">
              <w:t>, és rámutat ezen adatok pontosságának fontosságára;</w:t>
            </w:r>
          </w:p>
        </w:tc>
        <w:tc>
          <w:tcPr>
            <w:tcW w:w="4876" w:type="dxa"/>
            <w:hideMark/>
          </w:tcPr>
          <w:p w:rsidR="00060590" w:rsidRPr="008F6B7A" w:rsidRDefault="000565EC" w:rsidP="00073109">
            <w:pPr>
              <w:pStyle w:val="Normal6"/>
              <w:rPr>
                <w:szCs w:val="24"/>
              </w:rPr>
            </w:pPr>
            <w:r w:rsidRPr="008F6B7A">
              <w:t>7.</w:t>
            </w:r>
            <w:r w:rsidRPr="008F6B7A">
              <w:tab/>
              <w:t>felhívja a Bizottságot és a tagállamokat, hogy vegyenek részt az önvezető járművekkel kapcsolatos nemzetközi szabályozási tevékenységben és vitákban, különösen a biztonságra</w:t>
            </w:r>
            <w:r w:rsidRPr="008F6B7A">
              <w:t xml:space="preserve"> vonatkozóan, egyszersmind gondot fordítva a szabályozók és a járműgyártók közötti együttműködésre az önvezető járművek uniós közúti forgalomba való bevezetése terén; felhív a betáplált földrajzi adatok </w:t>
            </w:r>
            <w:r w:rsidRPr="008F6B7A">
              <w:rPr>
                <w:b/>
                <w:i/>
              </w:rPr>
              <w:t>gyűjtésére és felhasználására vonatkozó egységes megk</w:t>
            </w:r>
            <w:r w:rsidRPr="008F6B7A">
              <w:rPr>
                <w:b/>
                <w:i/>
              </w:rPr>
              <w:t>özelítésre</w:t>
            </w:r>
            <w:r w:rsidRPr="008F6B7A">
              <w:t>, és rámutat ezen adatok pontosságának fontosságára;</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 Josianne Cutajar</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7.</w:t>
            </w:r>
            <w:r w:rsidRPr="008F6B7A">
              <w:tab/>
            </w:r>
            <w:r w:rsidRPr="008F6B7A">
              <w:t xml:space="preserve">felhívja a Bizottságot és a tagállamokat, hogy vegyenek részt az önvezető járművekkel kapcsolatos nemzetközi szabályozási tevékenységben és vitákban, különösen a biztonságra vonatkozóan, egyszersmind gondot fordítva a szabályozók és a járműgyártók közötti </w:t>
            </w:r>
            <w:r w:rsidRPr="008F6B7A">
              <w:t>együttműködésre az önvezető járművek uniós közúti forgalomba való bevezetése terén; felhív a betáplált földrajzi adatok szabványosítására, és rámutat ezen adatok pontosságának fontosságára;</w:t>
            </w:r>
          </w:p>
        </w:tc>
        <w:tc>
          <w:tcPr>
            <w:tcW w:w="4876" w:type="dxa"/>
            <w:hideMark/>
          </w:tcPr>
          <w:p w:rsidR="00060590" w:rsidRPr="008F6B7A" w:rsidRDefault="000565EC" w:rsidP="00073109">
            <w:pPr>
              <w:pStyle w:val="Normal6"/>
              <w:rPr>
                <w:szCs w:val="24"/>
              </w:rPr>
            </w:pPr>
            <w:r w:rsidRPr="008F6B7A">
              <w:t>7.</w:t>
            </w:r>
            <w:r w:rsidRPr="008F6B7A">
              <w:tab/>
              <w:t>felhívja a Bizottságot és a tagállamokat, hogy vegyenek részt a</w:t>
            </w:r>
            <w:r w:rsidRPr="008F6B7A">
              <w:t>z önvezető járművekkel kapcsolatos nemzetközi szabályozási tevékenységben és vitákban, különösen a biztonságra vonatkozóan, egyszersmind gondot fordítva a szabályozók</w:t>
            </w:r>
            <w:r w:rsidRPr="008F6B7A">
              <w:rPr>
                <w:b/>
                <w:i/>
              </w:rPr>
              <w:t>, a beszállítók</w:t>
            </w:r>
            <w:r w:rsidRPr="008F6B7A">
              <w:t xml:space="preserve"> és a járműgyártók közötti együttműködésre az önvezető járművek uniós közút</w:t>
            </w:r>
            <w:r w:rsidRPr="008F6B7A">
              <w:t>i forgalomba való bevezetése terén; felhív a betáplált földrajzi adatok szabványosítására, és rámutat ezen adatok pontosságának fontosságára;</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color w:val="auto"/>
        </w:rPr>
        <w:t>&lt;Amend&gt;</w:t>
      </w:r>
      <w:r w:rsidRPr="008F6B7A">
        <w:t>Módosítás</w:t>
      </w:r>
      <w:r w:rsidRPr="008F6B7A">
        <w:tab/>
      </w:r>
      <w:r w:rsidRPr="008F6B7A">
        <w:tab/>
      </w:r>
      <w:r w:rsidRPr="008F6B7A">
        <w:rPr>
          <w:rStyle w:val="HideTWBExt"/>
          <w:b w:val="0"/>
          <w:noProof w:val="0"/>
          <w:color w:val="auto"/>
        </w:rPr>
        <w:t>&lt;NumAm&gt;</w:t>
      </w:r>
      <w:r w:rsidRPr="008F6B7A">
        <w:t>33</w:t>
      </w:r>
      <w:r w:rsidRPr="008F6B7A">
        <w:rPr>
          <w:rStyle w:val="HideTWBExt"/>
          <w:b w:val="0"/>
          <w:noProof w:val="0"/>
          <w:color w:val="auto"/>
        </w:rPr>
        <w:t>&lt;/NumAm&gt;</w:t>
      </w:r>
    </w:p>
    <w:p w:rsidR="00060590" w:rsidRPr="008F6B7A" w:rsidRDefault="000565EC" w:rsidP="00060590">
      <w:pPr>
        <w:pStyle w:val="NormalBold"/>
      </w:pPr>
      <w:r w:rsidRPr="008F6B7A">
        <w:rPr>
          <w:rStyle w:val="HideTWBExt"/>
          <w:b w:val="0"/>
          <w:noProof w:val="0"/>
          <w:color w:val="auto"/>
        </w:rPr>
        <w:t>&lt;RepeatBlock-By&gt;&lt;Members&gt;</w:t>
      </w:r>
      <w:r w:rsidRPr="008F6B7A">
        <w:t>Sara Cerdas</w:t>
      </w:r>
      <w:r w:rsidRPr="008F6B7A">
        <w:rPr>
          <w:rStyle w:val="HideTWBExt"/>
          <w:b w:val="0"/>
          <w:noProof w:val="0"/>
          <w:color w:val="auto"/>
        </w:rPr>
        <w:t>&lt;/Members&gt;</w:t>
      </w:r>
    </w:p>
    <w:p w:rsidR="00060590" w:rsidRPr="008F6B7A" w:rsidRDefault="000565EC" w:rsidP="00060590">
      <w:r w:rsidRPr="008F6B7A">
        <w:rPr>
          <w:rStyle w:val="HideTWBExt"/>
          <w:noProof w:val="0"/>
          <w:color w:val="auto"/>
        </w:rPr>
        <w:t>&lt;/RepeatBlock-By&gt;</w:t>
      </w:r>
    </w:p>
    <w:p w:rsidR="00060590" w:rsidRPr="008F6B7A" w:rsidRDefault="000565EC" w:rsidP="00060590">
      <w:pPr>
        <w:pStyle w:val="NormalBold"/>
        <w:keepNext/>
      </w:pPr>
      <w:r w:rsidRPr="008F6B7A">
        <w:rPr>
          <w:rStyle w:val="HideTWBExt"/>
          <w:b w:val="0"/>
          <w:noProof w:val="0"/>
          <w:color w:val="auto"/>
        </w:rPr>
        <w:t>&lt;DocAmend&gt;</w:t>
      </w:r>
      <w:r w:rsidRPr="008F6B7A">
        <w:t>Véleménytervezet</w:t>
      </w:r>
      <w:r w:rsidRPr="008F6B7A">
        <w:rPr>
          <w:rStyle w:val="HideTWBExt"/>
          <w:b w:val="0"/>
          <w:noProof w:val="0"/>
          <w:color w:val="auto"/>
        </w:rPr>
        <w:t>&lt;/DocAmend&gt;</w:t>
      </w:r>
    </w:p>
    <w:p w:rsidR="00060590" w:rsidRPr="008F6B7A" w:rsidRDefault="000565EC" w:rsidP="00060590">
      <w:pPr>
        <w:pStyle w:val="NormalBold"/>
      </w:pPr>
      <w:r w:rsidRPr="008F6B7A">
        <w:rPr>
          <w:rStyle w:val="HideTWBExt"/>
          <w:b w:val="0"/>
          <w:noProof w:val="0"/>
          <w:color w:val="auto"/>
        </w:rPr>
        <w:t>&lt;Article&gt;</w:t>
      </w:r>
      <w:r w:rsidRPr="008F6B7A">
        <w:t>7 a bekezdés (új)</w:t>
      </w:r>
      <w:r w:rsidRPr="008F6B7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7a.</w:t>
            </w:r>
            <w:r w:rsidRPr="008F6B7A">
              <w:rPr>
                <w:b/>
                <w:i/>
              </w:rPr>
              <w:tab/>
              <w:t xml:space="preserve">sürgeti a Bizottságot, hogy hozza létre a bevált gyakorlatok tagállamok közötti cseréjét; felhívja továbbá a </w:t>
            </w:r>
            <w:r w:rsidRPr="008F6B7A">
              <w:rPr>
                <w:b/>
                <w:i/>
              </w:rPr>
              <w:t>Bizottságot, hogy továbbra is mozdítsa elő a mesterséges intelligenciával kapcsolatos kutatást a közlekedés területén;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color w:val="auto"/>
        </w:rPr>
        <w:t>&lt;Original&gt;</w:t>
      </w:r>
      <w:r w:rsidRPr="008F6B7A">
        <w:rPr>
          <w:rStyle w:val="HideTWBInt"/>
          <w:noProof w:val="0"/>
          <w:color w:val="auto"/>
        </w:rPr>
        <w:t>{PT}</w:t>
      </w:r>
      <w:r w:rsidRPr="008F6B7A">
        <w:rPr>
          <w:noProof w:val="0"/>
        </w:rPr>
        <w:t>pt</w:t>
      </w:r>
      <w:r w:rsidRPr="008F6B7A">
        <w:rPr>
          <w:rStyle w:val="HideTWBExt"/>
          <w:noProof w:val="0"/>
          <w:color w:val="auto"/>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34</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w:t>
      </w:r>
      <w:r w:rsidRPr="008F6B7A">
        <w:rPr>
          <w:rStyle w:val="HideTWBExt"/>
          <w:noProof w:val="0"/>
        </w:rPr>
        <w:t>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7a.</w:t>
            </w:r>
            <w:r w:rsidRPr="008F6B7A">
              <w:rPr>
                <w:b/>
                <w:i/>
              </w:rPr>
              <w:tab/>
              <w:t xml:space="preserve">továbbá üdvözöl minden olyan tagállami kísérletet, amely a biztonság és a felügyelet biztosítása érdekében a nemzeti infrastruktúrák </w:t>
            </w:r>
            <w:r w:rsidRPr="008F6B7A">
              <w:rPr>
                <w:b/>
                <w:i/>
              </w:rPr>
              <w:t>javítására és a felügyeleti mechanizmusok létrehozásának támogatására irányul;</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35</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Josianne Cutajar, Isabel García Muñoz, Sara Cerdas, Maria Grapini</w:t>
      </w:r>
      <w:r w:rsidRPr="008F6B7A">
        <w:rPr>
          <w:rStyle w:val="HideTWBExt"/>
          <w:b w:val="0"/>
          <w:noProof w:val="0"/>
        </w:rPr>
        <w:t>&lt;/Members</w:t>
      </w:r>
      <w:r w:rsidRPr="008F6B7A">
        <w:rPr>
          <w:rStyle w:val="HideTWBExt"/>
          <w:b w:val="0"/>
          <w:noProof w:val="0"/>
        </w:rPr>
        <w:t>&gt;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7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7a.</w:t>
            </w:r>
            <w:r w:rsidRPr="008F6B7A">
              <w:rPr>
                <w:b/>
                <w:i/>
              </w:rPr>
              <w:tab/>
              <w:t xml:space="preserve">megjegyzi, hogy a mesterséges intelligencia közlekedésben való alkalmazásának – különösen a polgári és katonai felhasználások </w:t>
            </w:r>
            <w:r w:rsidRPr="008F6B7A">
              <w:rPr>
                <w:b/>
                <w:i/>
              </w:rPr>
              <w:t>ötvözése esetén – meg kell felelnie az adatvédelemre és a magánélet védelmére vonatkozó uniós jogszabályoknak;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36</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 xml:space="preserve">Josianne Cutajar, Isabel García Muñoz, </w:t>
      </w:r>
      <w:r w:rsidRPr="008F6B7A">
        <w:t>Sara Cerdas, Maria Grapini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8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8.</w:t>
            </w:r>
            <w:r w:rsidRPr="008F6B7A">
              <w:tab/>
              <w:t>emlékeztet a Nemzetközi Tengerészeti Szervezetben az új és felemelkedő technológiák – például önjáró</w:t>
            </w:r>
            <w:r w:rsidRPr="008F6B7A">
              <w:t xml:space="preserve"> hajók – szabályozási környezetbe való illesztéséről jelenleg folytatott átfogó megbeszélésekre;</w:t>
            </w:r>
          </w:p>
        </w:tc>
        <w:tc>
          <w:tcPr>
            <w:tcW w:w="4876" w:type="dxa"/>
            <w:hideMark/>
          </w:tcPr>
          <w:p w:rsidR="00060590" w:rsidRPr="008F6B7A" w:rsidRDefault="000565EC" w:rsidP="00060590">
            <w:pPr>
              <w:pStyle w:val="Normal6"/>
              <w:rPr>
                <w:szCs w:val="24"/>
              </w:rPr>
            </w:pPr>
            <w:r w:rsidRPr="008F6B7A">
              <w:t>8.</w:t>
            </w:r>
            <w:r w:rsidRPr="008F6B7A">
              <w:tab/>
              <w:t>emlékeztet a Nemzetközi Tengerészeti Szervezetben az új és felemelkedő technológiák – például önjáró hajók – szabályozási környezetbe való illesztéséről jel</w:t>
            </w:r>
            <w:r w:rsidRPr="008F6B7A">
              <w:t xml:space="preserve">enleg folytatott átfogó megbeszélésekre; </w:t>
            </w:r>
            <w:r w:rsidRPr="008F6B7A">
              <w:rPr>
                <w:b/>
                <w:i/>
              </w:rPr>
              <w:t>hangsúlyozza a tengerészeti ágazatban dolgozók továbbképzési/átképzési programjainak fontosságát, mivel a digitális szakértelem és képességek alapvető fontosságúak lesznek az ágazat előremozdításában, biztosítva Eur</w:t>
            </w:r>
            <w:r w:rsidRPr="008F6B7A">
              <w:rPr>
                <w:b/>
                <w:i/>
              </w:rPr>
              <w:t>ópa globális vezető szerepének megőrzését és a foglalkoztatás védelmét;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37</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w:t>
      </w:r>
      <w:r w:rsidRPr="008F6B7A">
        <w:rPr>
          <w:rStyle w:val="HideTWBExt"/>
          <w:b w:val="0"/>
          <w:noProof w:val="0"/>
        </w:rPr>
        <w:t>&gt;</w:t>
      </w:r>
    </w:p>
    <w:p w:rsidR="00060590" w:rsidRPr="008F6B7A" w:rsidRDefault="000565EC" w:rsidP="00060590">
      <w:pPr>
        <w:pStyle w:val="NormalBold"/>
      </w:pPr>
      <w:r w:rsidRPr="008F6B7A">
        <w:rPr>
          <w:rStyle w:val="HideTWBExt"/>
          <w:b w:val="0"/>
          <w:noProof w:val="0"/>
        </w:rPr>
        <w:t>&lt;Article&gt;</w:t>
      </w:r>
      <w:r w:rsidRPr="008F6B7A">
        <w:t>8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8.</w:t>
            </w:r>
            <w:r w:rsidRPr="008F6B7A">
              <w:tab/>
              <w:t xml:space="preserve">emlékeztet a Nemzetközi Tengerészeti Szervezetben az új és felemelkedő technológiák – például önjáró hajók – szabályozási környezetbe való </w:t>
            </w:r>
            <w:r w:rsidRPr="008F6B7A">
              <w:rPr>
                <w:b/>
                <w:i/>
              </w:rPr>
              <w:t>illesztéséről</w:t>
            </w:r>
            <w:r w:rsidRPr="008F6B7A">
              <w:t xml:space="preserve"> jelenleg folytatott átfogó megbeszélésekre;</w:t>
            </w:r>
          </w:p>
        </w:tc>
        <w:tc>
          <w:tcPr>
            <w:tcW w:w="4876" w:type="dxa"/>
            <w:hideMark/>
          </w:tcPr>
          <w:p w:rsidR="00060590" w:rsidRPr="008F6B7A" w:rsidRDefault="000565EC" w:rsidP="00073109">
            <w:pPr>
              <w:pStyle w:val="Normal6"/>
              <w:rPr>
                <w:szCs w:val="24"/>
              </w:rPr>
            </w:pPr>
            <w:r w:rsidRPr="008F6B7A">
              <w:t>8.</w:t>
            </w:r>
            <w:r w:rsidRPr="008F6B7A">
              <w:tab/>
              <w:t xml:space="preserve">emlékeztet a Nemzetközi Tengerészeti Szervezetben az új és felemelkedő technológiák – </w:t>
            </w:r>
            <w:r w:rsidRPr="008F6B7A">
              <w:rPr>
                <w:b/>
                <w:i/>
              </w:rPr>
              <w:t xml:space="preserve">adott esetben, </w:t>
            </w:r>
            <w:r w:rsidRPr="008F6B7A">
              <w:t>például</w:t>
            </w:r>
            <w:r w:rsidRPr="008F6B7A">
              <w:rPr>
                <w:b/>
                <w:i/>
              </w:rPr>
              <w:t xml:space="preserve"> az</w:t>
            </w:r>
            <w:r w:rsidRPr="008F6B7A">
              <w:t xml:space="preserve"> önjáró hajók </w:t>
            </w:r>
            <w:r w:rsidRPr="008F6B7A">
              <w:rPr>
                <w:b/>
                <w:i/>
              </w:rPr>
              <w:t xml:space="preserve">esetében </w:t>
            </w:r>
            <w:r w:rsidRPr="008F6B7A">
              <w:t xml:space="preserve">– szabályozási környezetbe való </w:t>
            </w:r>
            <w:r w:rsidRPr="008F6B7A">
              <w:rPr>
                <w:b/>
                <w:i/>
              </w:rPr>
              <w:t>tényleges beillesztéséről</w:t>
            </w:r>
            <w:r w:rsidRPr="008F6B7A">
              <w:t xml:space="preserve"> jelenleg folytat</w:t>
            </w:r>
            <w:r w:rsidRPr="008F6B7A">
              <w:t xml:space="preserve">ott átfogó megbeszélésekre; </w:t>
            </w:r>
            <w:r w:rsidRPr="008F6B7A">
              <w:rPr>
                <w:b/>
                <w:i/>
              </w:rPr>
              <w:t>emlékeztet annak fontosságára, hogy a tagállamokkal egyeztetve támogassák és adott esetben kiegészítsék a meglévő infrastruktúra és erőforrások javítására és korszerűsítésére irányuló nemzeti erőfeszítéseket;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38</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Kovařík, Caroline Nagtegaal, Elsi Katainen,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8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8.</w:t>
            </w:r>
            <w:r w:rsidRPr="008F6B7A">
              <w:tab/>
              <w:t>emlékeztet a Nemzetközi Tengerészeti Szervezetben az új és felemelkedő technológiák – például önjáró hajók – szabályozási környezetbe való illesztéséről jelenleg folytatott átfogó megbeszélésekre;</w:t>
            </w:r>
          </w:p>
        </w:tc>
        <w:tc>
          <w:tcPr>
            <w:tcW w:w="4876" w:type="dxa"/>
            <w:hideMark/>
          </w:tcPr>
          <w:p w:rsidR="00060590" w:rsidRPr="008F6B7A" w:rsidRDefault="000565EC" w:rsidP="00073109">
            <w:pPr>
              <w:pStyle w:val="Normal6"/>
              <w:rPr>
                <w:szCs w:val="24"/>
              </w:rPr>
            </w:pPr>
            <w:r w:rsidRPr="008F6B7A">
              <w:t>8.</w:t>
            </w:r>
            <w:r w:rsidRPr="008F6B7A">
              <w:tab/>
            </w:r>
            <w:r w:rsidRPr="008F6B7A">
              <w:rPr>
                <w:b/>
                <w:i/>
              </w:rPr>
              <w:t xml:space="preserve">felhívja a figyelmet </w:t>
            </w:r>
            <w:r w:rsidRPr="008F6B7A">
              <w:rPr>
                <w:b/>
                <w:i/>
              </w:rPr>
              <w:t>arra, hogy a globális hajózási ágazat az elmúlt években a mesterséges intelligencia integrációjának köszönhetően jelentős változásokon ment keresztül;</w:t>
            </w:r>
            <w:r w:rsidRPr="008F6B7A">
              <w:t xml:space="preserve"> emlékeztet a Nemzetközi Tengerészeti Szervezetben az új és felemelkedő technológiák – például önjáró hajó</w:t>
            </w:r>
            <w:r w:rsidRPr="008F6B7A">
              <w:t>k – szabályozási környezetbe való illesztéséről jelenleg folytatott átfogó megbeszélésekre;</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39</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 xml:space="preserve">Josianne Cutajar, Isabel García Muñoz, Sara Cerdas, Maria </w:t>
      </w:r>
      <w:r w:rsidRPr="008F6B7A">
        <w:t>Grapini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 xml:space="preserve">hangsúlyozza, hogy a intelligens közlekedési rendszerek csökkentik a forgalom zsúfoltságát és hozzájárulnak a </w:t>
            </w:r>
            <w:r w:rsidRPr="008F6B7A">
              <w:t>hatékonyságot és mobilitást érintő megoldások javításához; felhívja a figyelmet a hagyományos közlekedési hálózatok növekvő kitettségére a kiberfenyegetésekkel szemben;</w:t>
            </w:r>
          </w:p>
        </w:tc>
        <w:tc>
          <w:tcPr>
            <w:tcW w:w="4876" w:type="dxa"/>
            <w:hideMark/>
          </w:tcPr>
          <w:p w:rsidR="00060590" w:rsidRPr="008F6B7A" w:rsidRDefault="000565EC" w:rsidP="00060590">
            <w:pPr>
              <w:pStyle w:val="Normal6"/>
              <w:rPr>
                <w:szCs w:val="24"/>
              </w:rPr>
            </w:pPr>
            <w:r w:rsidRPr="008F6B7A">
              <w:t>9.</w:t>
            </w:r>
            <w:r w:rsidRPr="008F6B7A">
              <w:tab/>
              <w:t>hangsúlyozza, hogy a intelligens közlekedési rendszerek csökkentik a forgalom zsúfol</w:t>
            </w:r>
            <w:r w:rsidRPr="008F6B7A">
              <w:t>tságát és hozzájárulnak a hatékonyságot és mobilitást érintő megoldások javításához; felhívja a figyelmet a hagyományos közlekedési hálózatok növekvő kitettségére a kiberfenyegetésekkel szemben</w:t>
            </w:r>
            <w:r w:rsidRPr="008F6B7A">
              <w:rPr>
                <w:b/>
                <w:i/>
              </w:rPr>
              <w:t>, és hangsúlyozza, hogy a kiberfenyegetések minimálisra csökken</w:t>
            </w:r>
            <w:r w:rsidRPr="008F6B7A">
              <w:rPr>
                <w:b/>
                <w:i/>
              </w:rPr>
              <w:t>tése érdekében fontos biztosítani, hogy a helyi forgalomirányító hatóságok ellenőrzést gyakoroljanak a forgalmi adatok és az ITS-rendszerek felett;</w:t>
            </w:r>
            <w:r w:rsidRPr="008F6B7A">
              <w:t xml:space="preserve"> </w:t>
            </w:r>
            <w:r w:rsidRPr="008F6B7A">
              <w:rPr>
                <w:b/>
                <w:i/>
              </w:rPr>
              <w:t>felhívja a tagállamokat, hogy kövessék nyomon a 2016-os kiberbiztonsági irányelv</w:t>
            </w:r>
            <w:r w:rsidRPr="008F6B7A">
              <w:rPr>
                <w:b/>
                <w:i/>
                <w:vertAlign w:val="superscript"/>
              </w:rPr>
              <w:t>1a</w:t>
            </w:r>
            <w:r w:rsidRPr="008F6B7A">
              <w:rPr>
                <w:b/>
                <w:i/>
              </w:rPr>
              <w:t xml:space="preserve"> helyes végrehajtását, és </w:t>
            </w:r>
            <w:r w:rsidRPr="008F6B7A">
              <w:rPr>
                <w:b/>
                <w:i/>
              </w:rPr>
              <w:t>működjenek együtt egymással egy ellenállóképes uniós közlekedési kibervédelmi hálózat kialakítása érdekében</w:t>
            </w:r>
            <w:r w:rsidRPr="008F6B7A">
              <w:t>;</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t>__________________</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1a Az Európai Parlament és a Tanács (EU) 2016/1148 irányelve (2016. július 6.) a hálózati és információs rendszerek biztonsá</w:t>
            </w:r>
            <w:r w:rsidRPr="008F6B7A">
              <w:rPr>
                <w:b/>
                <w:i/>
              </w:rPr>
              <w:t xml:space="preserve">gának az egész Unióban egységesen magas szintjét biztosító intézkedésekről (HL L 194., 2016.7.19., 1–30. o.). </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color w:val="auto"/>
        </w:rPr>
        <w:t>&lt;Amend&gt;</w:t>
      </w:r>
      <w:r w:rsidRPr="008F6B7A">
        <w:t>Módosítás</w:t>
      </w:r>
      <w:r w:rsidRPr="008F6B7A">
        <w:tab/>
      </w:r>
      <w:r w:rsidRPr="008F6B7A">
        <w:tab/>
      </w:r>
      <w:r w:rsidRPr="008F6B7A">
        <w:rPr>
          <w:rStyle w:val="HideTWBExt"/>
          <w:b w:val="0"/>
          <w:noProof w:val="0"/>
          <w:color w:val="auto"/>
        </w:rPr>
        <w:t>&lt;NumAm&gt;</w:t>
      </w:r>
      <w:r w:rsidRPr="008F6B7A">
        <w:t>40</w:t>
      </w:r>
      <w:r w:rsidRPr="008F6B7A">
        <w:rPr>
          <w:rStyle w:val="HideTWBExt"/>
          <w:b w:val="0"/>
          <w:noProof w:val="0"/>
          <w:color w:val="auto"/>
        </w:rPr>
        <w:t>&lt;/NumAm&gt;</w:t>
      </w:r>
    </w:p>
    <w:p w:rsidR="00060590" w:rsidRPr="008F6B7A" w:rsidRDefault="000565EC" w:rsidP="00060590">
      <w:pPr>
        <w:pStyle w:val="NormalBold"/>
      </w:pPr>
      <w:r w:rsidRPr="008F6B7A">
        <w:rPr>
          <w:rStyle w:val="HideTWBExt"/>
          <w:b w:val="0"/>
          <w:noProof w:val="0"/>
          <w:color w:val="auto"/>
        </w:rPr>
        <w:t>&lt;RepeatBlock-By&gt;&lt;Members&gt;</w:t>
      </w:r>
      <w:r w:rsidRPr="008F6B7A">
        <w:t>Sara Cerdas</w:t>
      </w:r>
      <w:r w:rsidRPr="008F6B7A">
        <w:rPr>
          <w:rStyle w:val="HideTWBExt"/>
          <w:b w:val="0"/>
          <w:noProof w:val="0"/>
          <w:color w:val="auto"/>
        </w:rPr>
        <w:t>&lt;/Members&gt;</w:t>
      </w:r>
    </w:p>
    <w:p w:rsidR="00060590" w:rsidRPr="008F6B7A" w:rsidRDefault="000565EC" w:rsidP="00060590">
      <w:r w:rsidRPr="008F6B7A">
        <w:rPr>
          <w:rStyle w:val="HideTWBExt"/>
          <w:noProof w:val="0"/>
          <w:color w:val="auto"/>
        </w:rPr>
        <w:t>&lt;/RepeatBlock-By&gt;</w:t>
      </w:r>
    </w:p>
    <w:p w:rsidR="00060590" w:rsidRPr="008F6B7A" w:rsidRDefault="000565EC" w:rsidP="00060590">
      <w:pPr>
        <w:pStyle w:val="NormalBold"/>
        <w:keepNext/>
      </w:pPr>
      <w:r w:rsidRPr="008F6B7A">
        <w:rPr>
          <w:rStyle w:val="HideTWBExt"/>
          <w:b w:val="0"/>
          <w:noProof w:val="0"/>
          <w:color w:val="auto"/>
        </w:rPr>
        <w:t>&lt;</w:t>
      </w:r>
      <w:r w:rsidRPr="008F6B7A">
        <w:rPr>
          <w:rStyle w:val="HideTWBExt"/>
          <w:b w:val="0"/>
          <w:noProof w:val="0"/>
          <w:color w:val="auto"/>
        </w:rPr>
        <w:t>DocAmend&gt;</w:t>
      </w:r>
      <w:r w:rsidRPr="008F6B7A">
        <w:t>Véleménytervezet</w:t>
      </w:r>
      <w:r w:rsidRPr="008F6B7A">
        <w:rPr>
          <w:rStyle w:val="HideTWBExt"/>
          <w:b w:val="0"/>
          <w:noProof w:val="0"/>
          <w:color w:val="auto"/>
        </w:rPr>
        <w:t>&lt;/DocAmend&gt;</w:t>
      </w:r>
    </w:p>
    <w:p w:rsidR="00060590" w:rsidRPr="008F6B7A" w:rsidRDefault="000565EC" w:rsidP="00060590">
      <w:pPr>
        <w:pStyle w:val="NormalBold"/>
      </w:pPr>
      <w:r w:rsidRPr="008F6B7A">
        <w:rPr>
          <w:rStyle w:val="HideTWBExt"/>
          <w:b w:val="0"/>
          <w:noProof w:val="0"/>
          <w:color w:val="auto"/>
        </w:rPr>
        <w:t>&lt;Article&gt;</w:t>
      </w:r>
      <w:r w:rsidRPr="008F6B7A">
        <w:t>9 bekezdés</w:t>
      </w:r>
      <w:r w:rsidRPr="008F6B7A">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 xml:space="preserve">hangsúlyozza, hogy a intelligens közlekedési rendszerek csökkentik a forgalom zsúfoltságát és hozzájárulnak a hatékonyságot és mobilitást érintő megoldások </w:t>
            </w:r>
            <w:r w:rsidRPr="008F6B7A">
              <w:t>javításához; felhívja a figyelmet a hagyományos közlekedési hálózatok növekvő kitettségére a kiberfenyegetésekkel szemben;</w:t>
            </w:r>
          </w:p>
        </w:tc>
        <w:tc>
          <w:tcPr>
            <w:tcW w:w="4876" w:type="dxa"/>
            <w:hideMark/>
          </w:tcPr>
          <w:p w:rsidR="00060590" w:rsidRPr="008F6B7A" w:rsidRDefault="000565EC" w:rsidP="00073109">
            <w:pPr>
              <w:pStyle w:val="Normal6"/>
              <w:rPr>
                <w:szCs w:val="24"/>
              </w:rPr>
            </w:pPr>
            <w:r w:rsidRPr="008F6B7A">
              <w:t>9.</w:t>
            </w:r>
            <w:r w:rsidRPr="008F6B7A">
              <w:tab/>
              <w:t xml:space="preserve">hangsúlyozza, hogy a intelligens közlekedési rendszerek csökkentik a forgalom zsúfoltságát és hozzájárulnak a hatékonyságot és </w:t>
            </w:r>
            <w:r w:rsidRPr="008F6B7A">
              <w:t xml:space="preserve">mobilitást érintő megoldások javításához; felhívja a figyelmet a hagyományos közlekedési hálózatok növekvő kitettségére a kiberfenyegetésekkel szemben; </w:t>
            </w:r>
            <w:r w:rsidRPr="008F6B7A">
              <w:rPr>
                <w:b/>
                <w:i/>
              </w:rPr>
              <w:t>rámutat a közlekedéssel kapcsolatos, mesterséges intelligenciára vonatkozó adatok hatékonyabb védelmének</w:t>
            </w:r>
            <w:r w:rsidRPr="008F6B7A">
              <w:rPr>
                <w:b/>
                <w:i/>
              </w:rPr>
              <w:t xml:space="preserve"> szükségességére, és felhívja a Bizottságot, hogy továbbra is működjön együtt a tagállamokkal az adatbiztonság és -védelem terén;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color w:val="auto"/>
        </w:rPr>
        <w:t>&lt;Original&gt;</w:t>
      </w:r>
      <w:r w:rsidRPr="008F6B7A">
        <w:rPr>
          <w:rStyle w:val="HideTWBInt"/>
          <w:noProof w:val="0"/>
          <w:color w:val="auto"/>
        </w:rPr>
        <w:t>{PT}</w:t>
      </w:r>
      <w:r w:rsidRPr="008F6B7A">
        <w:rPr>
          <w:noProof w:val="0"/>
        </w:rPr>
        <w:t>pt</w:t>
      </w:r>
      <w:r w:rsidRPr="008F6B7A">
        <w:rPr>
          <w:rStyle w:val="HideTWBExt"/>
          <w:noProof w:val="0"/>
          <w:color w:val="auto"/>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w:t>
      </w:r>
      <w:r w:rsidRPr="008F6B7A">
        <w:rPr>
          <w:rStyle w:val="HideTWBExt"/>
          <w:b w:val="0"/>
          <w:noProof w:val="0"/>
        </w:rPr>
        <w: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 xml:space="preserve">hangsúlyozza, hogy a intelligens közlekedési rendszerek csökkentik a forgalom zsúfoltságát és hozzájárulnak a hatékonyságot és </w:t>
            </w:r>
            <w:r w:rsidRPr="008F6B7A">
              <w:t>mobilitást érintő megoldások javításához; felhívja a figyelmet a hagyományos közlekedési hálózatok növekvő kitettségére a kiberfenyegetésekkel szemben;</w:t>
            </w:r>
          </w:p>
        </w:tc>
        <w:tc>
          <w:tcPr>
            <w:tcW w:w="4876" w:type="dxa"/>
            <w:hideMark/>
          </w:tcPr>
          <w:p w:rsidR="00060590" w:rsidRPr="008F6B7A" w:rsidRDefault="000565EC" w:rsidP="00073109">
            <w:pPr>
              <w:pStyle w:val="Normal6"/>
              <w:rPr>
                <w:szCs w:val="24"/>
              </w:rPr>
            </w:pPr>
            <w:r w:rsidRPr="008F6B7A">
              <w:t>9.</w:t>
            </w:r>
            <w:r w:rsidRPr="008F6B7A">
              <w:tab/>
              <w:t>hangsúlyozza, hogy a intelligens közlekedési rendszerek csökkentik a forgalom zsúfoltságát és hozzájá</w:t>
            </w:r>
            <w:r w:rsidRPr="008F6B7A">
              <w:t xml:space="preserve">rulnak a hatékonyságot és mobilitást érintő megoldások javításához; felhívja a figyelmet a hagyományos közlekedési hálózatok növekvő kitettségére a kiberfenyegetésekkel szemben; </w:t>
            </w:r>
            <w:r w:rsidRPr="008F6B7A">
              <w:rPr>
                <w:b/>
                <w:i/>
              </w:rPr>
              <w:t>emlékeztet az emberközpontú megközelítés, valamint a kiberbiztonsági szoftvere</w:t>
            </w:r>
            <w:r w:rsidRPr="008F6B7A">
              <w:rPr>
                <w:b/>
                <w:i/>
              </w:rPr>
              <w:t>kkel kapcsolatos további kutatás és fejlesztés és egyéb védelmi intézkedések fontosságára az automatizált rendszerek biztonságának biztosítása érdekében;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w:t>
      </w:r>
      <w:r w:rsidRPr="008F6B7A">
        <w:rPr>
          <w:rStyle w:val="HideTWBExt"/>
          <w:b w:val="0"/>
          <w:noProof w:val="0"/>
        </w:rPr>
        <w:t>&gt;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 xml:space="preserve">hangsúlyozza, hogy a intelligens közlekedési rendszerek </w:t>
            </w:r>
            <w:r w:rsidRPr="008F6B7A">
              <w:rPr>
                <w:b/>
                <w:i/>
              </w:rPr>
              <w:t>csökkentik</w:t>
            </w:r>
            <w:r w:rsidRPr="008F6B7A">
              <w:t xml:space="preserve"> a forgalom zsúfoltságát és hozzájárulnak a hatékonyságot és mobilitást érintő megoldások javításához; felhívja a figyelmet a hagyományos közlekedési hálózatok növekvő kitettségére a kiberfenyegetésekkel szemben;</w:t>
            </w:r>
          </w:p>
        </w:tc>
        <w:tc>
          <w:tcPr>
            <w:tcW w:w="4876" w:type="dxa"/>
            <w:hideMark/>
          </w:tcPr>
          <w:p w:rsidR="00060590" w:rsidRPr="008F6B7A" w:rsidRDefault="000565EC" w:rsidP="00073109">
            <w:pPr>
              <w:pStyle w:val="Normal6"/>
              <w:rPr>
                <w:szCs w:val="24"/>
              </w:rPr>
            </w:pPr>
            <w:r w:rsidRPr="008F6B7A">
              <w:t>9.</w:t>
            </w:r>
            <w:r w:rsidRPr="008F6B7A">
              <w:tab/>
              <w:t>hangsúlyozza, hogy a intelligens közleke</w:t>
            </w:r>
            <w:r w:rsidRPr="008F6B7A">
              <w:t xml:space="preserve">dési rendszerek </w:t>
            </w:r>
            <w:r w:rsidRPr="008F6B7A">
              <w:rPr>
                <w:b/>
                <w:i/>
              </w:rPr>
              <w:t>csökkenthetik</w:t>
            </w:r>
            <w:r w:rsidRPr="008F6B7A">
              <w:t xml:space="preserve"> a forgalom zsúfoltságát</w:t>
            </w:r>
            <w:r w:rsidRPr="008F6B7A">
              <w:rPr>
                <w:b/>
                <w:i/>
              </w:rPr>
              <w:t>, növelik a biztonságot és az akadálymentességet,</w:t>
            </w:r>
            <w:r w:rsidRPr="008F6B7A">
              <w:t xml:space="preserve"> és hozzájárulnak a hatékonyságot és mobilitást érintő megoldások javításához; felhívja a figyelmet a hagyományos közlekedési hálózatok növekvő </w:t>
            </w:r>
            <w:r w:rsidRPr="008F6B7A">
              <w:t>kitettségére a kiberfenyegetésekkel szemben</w:t>
            </w:r>
            <w:r w:rsidRPr="008F6B7A">
              <w:rPr>
                <w:b/>
                <w:i/>
              </w:rPr>
              <w:t>, és e tekintetben hangsúlyozza, hogy meg kell vizsgálni az intelligens közlekedési rendszerek és az önvezető járművek biztonsági kockázatait</w:t>
            </w:r>
            <w:r w:rsidRPr="008F6B7A">
              <w: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43</w:t>
      </w:r>
      <w:r w:rsidRPr="008F6B7A">
        <w:rPr>
          <w:rStyle w:val="HideTWBExt"/>
          <w:b w:val="0"/>
          <w:noProof w:val="0"/>
        </w:rPr>
        <w:t>&lt;</w:t>
      </w:r>
      <w:r w:rsidRPr="008F6B7A">
        <w:rPr>
          <w:rStyle w:val="HideTWBExt"/>
          <w:b w:val="0"/>
          <w:noProof w:val="0"/>
        </w:rPr>
        <w:t>/NumAm&gt;</w:t>
      </w:r>
    </w:p>
    <w:p w:rsidR="00060590" w:rsidRPr="008F6B7A" w:rsidRDefault="000565EC" w:rsidP="00060590">
      <w:pPr>
        <w:pStyle w:val="NormalBold"/>
      </w:pPr>
      <w:r w:rsidRPr="008F6B7A">
        <w:rPr>
          <w:rStyle w:val="HideTWBExt"/>
          <w:b w:val="0"/>
          <w:noProof w:val="0"/>
        </w:rPr>
        <w:t>&lt;RepeatBlock-By&gt;&lt;Members&gt;</w:t>
      </w:r>
      <w:r w:rsidRPr="008F6B7A">
        <w:t>Isabel García Muñoz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 xml:space="preserve">hangsúlyozza, hogy a intelligens közlekedési rendszerek csökkentik a </w:t>
            </w:r>
            <w:r w:rsidRPr="008F6B7A">
              <w:t>forgalom zsúfoltságát és hozzájárulnak a hatékonyságot és mobilitást érintő megoldások javításához; felhívja a figyelmet a hagyományos közlekedési hálózatok növekvő kitettségére a kiberfenyegetésekkel szemben;</w:t>
            </w:r>
          </w:p>
        </w:tc>
        <w:tc>
          <w:tcPr>
            <w:tcW w:w="4876" w:type="dxa"/>
            <w:hideMark/>
          </w:tcPr>
          <w:p w:rsidR="00060590" w:rsidRPr="008F6B7A" w:rsidRDefault="000565EC" w:rsidP="00073109">
            <w:pPr>
              <w:pStyle w:val="Normal6"/>
              <w:rPr>
                <w:szCs w:val="24"/>
              </w:rPr>
            </w:pPr>
            <w:r w:rsidRPr="008F6B7A">
              <w:t>9.</w:t>
            </w:r>
            <w:r w:rsidRPr="008F6B7A">
              <w:tab/>
              <w:t>hangsúlyozza, hogy a intelligens közlekedés</w:t>
            </w:r>
            <w:r w:rsidRPr="008F6B7A">
              <w:t>i rendszerek csökkentik a forgalom zsúfoltságát</w:t>
            </w:r>
            <w:r w:rsidRPr="008F6B7A">
              <w:rPr>
                <w:b/>
                <w:i/>
              </w:rPr>
              <w:t>, megkönnyítik a forgalom irányítását,</w:t>
            </w:r>
            <w:r w:rsidRPr="008F6B7A">
              <w:t xml:space="preserve"> és hozzájárulnak a hatékonyságot és mobilitást érintő megoldások javításához; felhívja a figyelmet a hagyományos közlekedési hálózatok növekvő kitettségére a kiberfenyege</w:t>
            </w:r>
            <w:r w:rsidRPr="008F6B7A">
              <w:t xml:space="preserve">tésekkel szemben; </w:t>
            </w:r>
            <w:r w:rsidRPr="008F6B7A">
              <w:rPr>
                <w:b/>
                <w:i/>
              </w:rPr>
              <w:t>szorgalmazza fokozott erőfeszítések tételét és több erőforrás mozgósítását ezen új kihívások uniós szintű kezelése érdekében;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44</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 xml:space="preserve">Ondřej </w:t>
      </w:r>
      <w:r w:rsidRPr="008F6B7A">
        <w:t>Kovařík, Caroline Nagtegaal, Elsi Katainen, Izaskun Bilbao Barandica, Nicola Danti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9.</w:t>
            </w:r>
            <w:r w:rsidRPr="008F6B7A">
              <w:tab/>
              <w:t>hangsúlyozza, hogy a intelligens közlekedési</w:t>
            </w:r>
            <w:r w:rsidRPr="008F6B7A">
              <w:t xml:space="preserve"> rendszerek csökkentik a forgalom zsúfoltságát és hozzájárulnak a hatékonyságot és mobilitást érintő megoldások javításához; felhívja a figyelmet a hagyományos közlekedési hálózatok növekvő kitettségére a kiberfenyegetésekkel szemben;</w:t>
            </w:r>
          </w:p>
        </w:tc>
        <w:tc>
          <w:tcPr>
            <w:tcW w:w="4876" w:type="dxa"/>
            <w:hideMark/>
          </w:tcPr>
          <w:p w:rsidR="00060590" w:rsidRPr="008F6B7A" w:rsidRDefault="000565EC" w:rsidP="00073109">
            <w:pPr>
              <w:pStyle w:val="Normal6"/>
              <w:rPr>
                <w:szCs w:val="24"/>
              </w:rPr>
            </w:pPr>
            <w:r w:rsidRPr="008F6B7A">
              <w:t>9.</w:t>
            </w:r>
            <w:r w:rsidRPr="008F6B7A">
              <w:tab/>
              <w:t>hangsúlyozza, hogy</w:t>
            </w:r>
            <w:r w:rsidRPr="008F6B7A">
              <w:t xml:space="preserve"> a intelligens közlekedési rendszerek csökkentik a forgalom zsúfoltságát és hozzájárulnak a hatékonyságot és mobilitást érintő megoldások javításához; felhívja a figyelmet a hagyományos közlekedési hálózatok növekvő kitettségére a kiberfenyegetésekkel szem</w:t>
            </w:r>
            <w:r w:rsidRPr="008F6B7A">
              <w:t xml:space="preserve">ben; </w:t>
            </w:r>
            <w:r w:rsidRPr="008F6B7A">
              <w:rPr>
                <w:b/>
                <w:i/>
              </w:rPr>
              <w:t>üdvözli a Bizottság azon szándékát, hogy a kiberbiztonságot rendszeresen napirendre tűzze a közlekedéssel foglalkozó nemzetközi szervezetekben folytatandó megbeszélések napirendjén;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45</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Kovařík, Caroline Nagtegaal, Izaskun Bilbao Barandica</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9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9a.</w:t>
            </w:r>
            <w:r w:rsidRPr="008F6B7A">
              <w:rPr>
                <w:b/>
                <w:i/>
              </w:rPr>
              <w:tab/>
              <w:t xml:space="preserve">támogatja a nagy </w:t>
            </w:r>
            <w:r w:rsidRPr="008F6B7A">
              <w:rPr>
                <w:b/>
                <w:i/>
              </w:rPr>
              <w:t>adathalmazokat felhasználó, gépi tanuláson alapuló mesterséges intelligencia használatát a közlekedési infrastruktúra és épületek hosszú távú teljesítményének, karbantartásának, meghibásodás-előrejelzésének és építési tervezésének optimalizálása érdekében,</w:t>
            </w:r>
            <w:r w:rsidRPr="008F6B7A">
              <w:rPr>
                <w:b/>
                <w:i/>
              </w:rPr>
              <w:t xml:space="preserve"> ideértve az olyan tényezőket is, mint a biztonság, az energiahatékonyság vagy a költségek;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46</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w:t>
      </w:r>
      <w:r w:rsidRPr="008F6B7A">
        <w:t>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10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10.</w:t>
            </w:r>
            <w:r w:rsidRPr="008F6B7A">
              <w:tab/>
              <w:t xml:space="preserve">üdvözli az MI-rendszerek közszférába való bevezetésére irányuló erőfeszítéseket, és támogatni fogja az MI közlekedési felhasználásáról szóló további vitákat; felhívja a </w:t>
            </w:r>
            <w:r w:rsidRPr="008F6B7A">
              <w:t>Bizottságot, hogy végezze el a közlekedési ágazat értékelését, és állítsa össze azon területek nem kimerítő listáját, amelyek magas fokú kockázatoknak vannak kitéve, amennyiben az ágazatot érintő közpolitikai döntéseket MI-rendszerekre bíznák;</w:t>
            </w:r>
          </w:p>
        </w:tc>
        <w:tc>
          <w:tcPr>
            <w:tcW w:w="4876" w:type="dxa"/>
            <w:hideMark/>
          </w:tcPr>
          <w:p w:rsidR="00060590" w:rsidRPr="008F6B7A" w:rsidRDefault="000565EC" w:rsidP="00073109">
            <w:pPr>
              <w:pStyle w:val="Normal6"/>
              <w:rPr>
                <w:szCs w:val="24"/>
              </w:rPr>
            </w:pPr>
            <w:r w:rsidRPr="008F6B7A">
              <w:t>10.</w:t>
            </w:r>
            <w:r w:rsidRPr="008F6B7A">
              <w:tab/>
              <w:t xml:space="preserve">üdvözli </w:t>
            </w:r>
            <w:r w:rsidRPr="008F6B7A">
              <w:t>az MI-rendszerek közszférába való bevezetésére irányuló erőfeszítéseket, és támogatni fogja az MI közlekedési felhasználásáról szóló további vitákat;</w:t>
            </w:r>
            <w:r w:rsidRPr="008F6B7A">
              <w:rPr>
                <w:b/>
                <w:i/>
              </w:rPr>
              <w:t xml:space="preserve"> hangsúlyozza, hogy az önvezető vezetés fejlesztése során előnyben kell részesíteni azokat a közlekedési mó</w:t>
            </w:r>
            <w:r w:rsidRPr="008F6B7A">
              <w:rPr>
                <w:b/>
                <w:i/>
              </w:rPr>
              <w:t>dokat, amelyek esetében a forgalomirányítás már kialakult struktúrákkal rendelkezik, mint például a tömegközlekedés;</w:t>
            </w:r>
            <w:r w:rsidRPr="008F6B7A">
              <w:t xml:space="preserve"> felhívja a Bizottságot, hogy végezze el a közlekedési ágazat értékelését, és állítsa össze azon területek nem kimerítő listáját, amelyek ma</w:t>
            </w:r>
            <w:r w:rsidRPr="008F6B7A">
              <w:t>gas fokú kockázatoknak vannak kitéve, amennyiben az ágazatot érintő közpolitikai döntéseket MI-rendszerekre bíznák;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47</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Angel Dzhambazki</w:t>
      </w:r>
      <w:r w:rsidRPr="008F6B7A">
        <w:rPr>
          <w:rStyle w:val="HideTWBExt"/>
          <w:b w:val="0"/>
          <w:noProof w:val="0"/>
        </w:rPr>
        <w:t>&lt;/Members&gt;</w:t>
      </w:r>
    </w:p>
    <w:p w:rsidR="00060590" w:rsidRPr="008F6B7A" w:rsidRDefault="000565EC" w:rsidP="00060590">
      <w:r w:rsidRPr="008F6B7A">
        <w:rPr>
          <w:rStyle w:val="HideTWBExt"/>
          <w:noProof w:val="0"/>
        </w:rPr>
        <w:t>&lt;</w:t>
      </w:r>
      <w:r w:rsidRPr="008F6B7A">
        <w:rPr>
          <w:rStyle w:val="HideTWBExt"/>
          <w:noProof w:val="0"/>
        </w:rPr>
        <w: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10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10.</w:t>
            </w:r>
            <w:r w:rsidRPr="008F6B7A">
              <w:tab/>
            </w:r>
            <w:r w:rsidRPr="008F6B7A">
              <w:t xml:space="preserve">üdvözli az MI-rendszerek közszférába való bevezetésére irányuló erőfeszítéseket, és támogatni fogja az MI közlekedési felhasználásáról szóló további vitákat; felhívja a Bizottságot, hogy végezze el a közlekedési </w:t>
            </w:r>
            <w:r w:rsidRPr="008F6B7A">
              <w:rPr>
                <w:b/>
                <w:i/>
              </w:rPr>
              <w:t>ágazat</w:t>
            </w:r>
            <w:r w:rsidRPr="008F6B7A">
              <w:t xml:space="preserve"> értékelését, és állítsa össze azon te</w:t>
            </w:r>
            <w:r w:rsidRPr="008F6B7A">
              <w:t>rületek nem kimerítő listáját, amelyek magas fokú kockázatoknak vannak kitéve, amennyiben az ágazatot érintő közpolitikai döntéseket MI-rendszerekre bíznák;</w:t>
            </w:r>
          </w:p>
        </w:tc>
        <w:tc>
          <w:tcPr>
            <w:tcW w:w="4876" w:type="dxa"/>
            <w:hideMark/>
          </w:tcPr>
          <w:p w:rsidR="00060590" w:rsidRPr="008F6B7A" w:rsidRDefault="000565EC" w:rsidP="00073109">
            <w:pPr>
              <w:pStyle w:val="Normal6"/>
              <w:rPr>
                <w:szCs w:val="24"/>
              </w:rPr>
            </w:pPr>
            <w:r w:rsidRPr="008F6B7A">
              <w:t>10.</w:t>
            </w:r>
            <w:r w:rsidRPr="008F6B7A">
              <w:tab/>
              <w:t>üdvözli az MI-rendszerek közszférába való bevezetésére irányuló erőfeszítéseket, és támogatni f</w:t>
            </w:r>
            <w:r w:rsidRPr="008F6B7A">
              <w:t xml:space="preserve">ogja az MI közlekedési felhasználásáról szóló további vitákat; felhívja a Bizottságot, hogy végezze el a közlekedési </w:t>
            </w:r>
            <w:r w:rsidRPr="008F6B7A">
              <w:rPr>
                <w:b/>
                <w:i/>
              </w:rPr>
              <w:t>ágazatban alkalmazott MI és hasonló technológiák</w:t>
            </w:r>
            <w:r w:rsidRPr="008F6B7A">
              <w:t xml:space="preserve"> értékelését, és állítsa össze azon területek nem kimerítő listáját, amelyek magas fokú koc</w:t>
            </w:r>
            <w:r w:rsidRPr="008F6B7A">
              <w:t>kázatoknak vannak kitéve, amennyiben az ágazatot érintő közpolitikai döntéseket MI-rendszerekre bíznák;</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48</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Kateřina Konečná</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w:t>
      </w:r>
      <w:r w:rsidRPr="008F6B7A">
        <w:rPr>
          <w:rStyle w:val="HideTWBExt"/>
          <w:b w:val="0"/>
          <w:noProof w:val="0"/>
        </w:rPr>
        <w:t>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rPr>
                <w:b/>
                <w:i/>
              </w:rPr>
              <w:t>11.</w:t>
            </w:r>
            <w:r w:rsidRPr="008F6B7A">
              <w:rPr>
                <w:b/>
                <w:i/>
              </w:rPr>
              <w:tab/>
              <w:t xml:space="preserve">hangsúlyozza, hogy az Európai Védelmi Alapnak és az állandó strukturált együttműködésnek (PESCO) ösztönözniük kellene a tagállamok közötti együttműködést, </w:t>
            </w:r>
            <w:r w:rsidRPr="008F6B7A">
              <w:rPr>
                <w:b/>
                <w:i/>
              </w:rPr>
              <w:t>illetve az európai védelmi iparágakat arra, hogy új európai védelmi képességeket fejlesszenek ki az MI terén, gondot fordítva az utánpótlás biztonságára is, továbbá figyelembe véve az etikai megfontolásokat; emlékeztet ezenfelül arra, hogy a következő Euró</w:t>
            </w:r>
            <w:r w:rsidRPr="008F6B7A">
              <w:rPr>
                <w:b/>
                <w:i/>
              </w:rPr>
              <w:t>pai Hálózatfinanszírozási Eszköz – amely szintén támogatja az intelligens infrastruktúrát – finanszírozást fog biztosítani a polgári-katonai kettős felhasználású infrastruktúra kiépítésére, célul tűzve ki az Unió katonai mobilitásának javítását.</w:t>
            </w:r>
          </w:p>
        </w:tc>
        <w:tc>
          <w:tcPr>
            <w:tcW w:w="4876" w:type="dxa"/>
            <w:hideMark/>
          </w:tcPr>
          <w:p w:rsidR="00060590" w:rsidRPr="008F6B7A" w:rsidRDefault="000565EC" w:rsidP="00073109">
            <w:pPr>
              <w:pStyle w:val="Normal6"/>
              <w:rPr>
                <w:szCs w:val="24"/>
              </w:rPr>
            </w:pPr>
            <w:r w:rsidRPr="008F6B7A">
              <w:rPr>
                <w:b/>
                <w:i/>
              </w:rPr>
              <w:t>törölve</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49</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Tilly Metz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11.</w:t>
            </w:r>
            <w:r w:rsidRPr="008F6B7A">
              <w:tab/>
            </w:r>
            <w:r w:rsidRPr="008F6B7A">
              <w:t xml:space="preserve">hangsúlyozza, hogy az </w:t>
            </w:r>
            <w:r w:rsidRPr="008F6B7A">
              <w:rPr>
                <w:b/>
                <w:i/>
              </w:rPr>
              <w:t>Európai Védelmi Alapnak</w:t>
            </w:r>
            <w:r w:rsidRPr="008F6B7A">
              <w:t xml:space="preserve"> és az </w:t>
            </w:r>
            <w:r w:rsidRPr="008F6B7A">
              <w:rPr>
                <w:b/>
                <w:i/>
              </w:rPr>
              <w:t>állandó strukturált együttműködésnek (PESCO) ösztönözniük kellene</w:t>
            </w:r>
            <w:r w:rsidRPr="008F6B7A">
              <w:t xml:space="preserve"> a </w:t>
            </w:r>
            <w:r w:rsidRPr="008F6B7A">
              <w:rPr>
                <w:b/>
                <w:i/>
              </w:rPr>
              <w:t>tagállamok közötti együttműködést</w:t>
            </w:r>
            <w:r w:rsidRPr="008F6B7A">
              <w:t xml:space="preserve">, </w:t>
            </w:r>
            <w:r w:rsidRPr="008F6B7A">
              <w:rPr>
                <w:b/>
                <w:i/>
              </w:rPr>
              <w:t>illetve az európai védelmi iparágakat arra</w:t>
            </w:r>
            <w:r w:rsidRPr="008F6B7A">
              <w:t xml:space="preserve">, </w:t>
            </w:r>
            <w:r w:rsidRPr="008F6B7A">
              <w:rPr>
                <w:b/>
                <w:i/>
              </w:rPr>
              <w:t>hogy új európai védelmi képességeket fejlesszenek ki</w:t>
            </w:r>
            <w:r w:rsidRPr="008F6B7A">
              <w:t xml:space="preserve"> az </w:t>
            </w:r>
            <w:r w:rsidRPr="008F6B7A">
              <w:rPr>
                <w:b/>
                <w:i/>
              </w:rPr>
              <w:t>M</w:t>
            </w:r>
            <w:r w:rsidRPr="008F6B7A">
              <w:rPr>
                <w:b/>
                <w:i/>
              </w:rPr>
              <w:t>I terén, gondot fordítva az utánpótlás biztonságára is</w:t>
            </w:r>
            <w:r w:rsidRPr="008F6B7A">
              <w:t xml:space="preserve">, </w:t>
            </w:r>
            <w:r w:rsidRPr="008F6B7A">
              <w:rPr>
                <w:b/>
                <w:i/>
              </w:rPr>
              <w:t>továbbá figyelembe véve az etikai megfontolásokat</w:t>
            </w:r>
            <w:r w:rsidRPr="008F6B7A">
              <w:t>; emlékeztet ezenfelül arra, hogy a következő Európai Hálózatfinanszírozási Eszköz – amely szintén támogatja az intelligens infrastruktúrát – finanszír</w:t>
            </w:r>
            <w:r w:rsidRPr="008F6B7A">
              <w:t>ozást fog biztosítani a polgári-katonai kettős felhasználású infrastruktúra kiépítésére, célul tűzve ki az Unió katonai mobilitásának javítását</w:t>
            </w:r>
            <w:r w:rsidRPr="008F6B7A">
              <w:rPr>
                <w:b/>
                <w:i/>
              </w:rPr>
              <w:t>.</w:t>
            </w:r>
          </w:p>
        </w:tc>
        <w:tc>
          <w:tcPr>
            <w:tcW w:w="4876" w:type="dxa"/>
            <w:hideMark/>
          </w:tcPr>
          <w:p w:rsidR="00060590" w:rsidRPr="008F6B7A" w:rsidRDefault="000565EC" w:rsidP="00073109">
            <w:pPr>
              <w:pStyle w:val="Normal6"/>
              <w:rPr>
                <w:szCs w:val="24"/>
              </w:rPr>
            </w:pPr>
            <w:r w:rsidRPr="008F6B7A">
              <w:t>11.</w:t>
            </w:r>
            <w:r w:rsidRPr="008F6B7A">
              <w:tab/>
              <w:t xml:space="preserve">hangsúlyozza, hogy </w:t>
            </w:r>
            <w:r w:rsidRPr="008F6B7A">
              <w:rPr>
                <w:b/>
                <w:i/>
              </w:rPr>
              <w:t xml:space="preserve">a mesterséges intelligencia katonai célú felhasználása nem szüntetheti meg </w:t>
            </w:r>
            <w:r w:rsidRPr="008F6B7A">
              <w:t xml:space="preserve">az </w:t>
            </w:r>
            <w:r w:rsidRPr="008F6B7A">
              <w:rPr>
                <w:b/>
                <w:i/>
              </w:rPr>
              <w:t>emberi fel</w:t>
            </w:r>
            <w:r w:rsidRPr="008F6B7A">
              <w:rPr>
                <w:b/>
                <w:i/>
              </w:rPr>
              <w:t>elősséget és elszámoltathatóságot,</w:t>
            </w:r>
            <w:r w:rsidRPr="008F6B7A">
              <w:t xml:space="preserve"> és </w:t>
            </w:r>
            <w:r w:rsidRPr="008F6B7A">
              <w:rPr>
                <w:b/>
                <w:i/>
              </w:rPr>
              <w:t xml:space="preserve">ebben </w:t>
            </w:r>
            <w:r w:rsidRPr="008F6B7A">
              <w:t xml:space="preserve">az </w:t>
            </w:r>
            <w:r w:rsidRPr="008F6B7A">
              <w:rPr>
                <w:b/>
                <w:i/>
              </w:rPr>
              <w:t>értelemben az a határozott véleménye, hogy egy emberi lény megtámadására vagy megölésére vonatkozó döntést csak jól képzett emberi irányító hozhat meg; e tekintetben üdvözli, hogy a Tanács és</w:t>
            </w:r>
            <w:r w:rsidRPr="008F6B7A">
              <w:t xml:space="preserve"> a </w:t>
            </w:r>
            <w:r w:rsidRPr="008F6B7A">
              <w:rPr>
                <w:b/>
                <w:i/>
              </w:rPr>
              <w:t xml:space="preserve">Parlament </w:t>
            </w:r>
            <w:r w:rsidRPr="008F6B7A">
              <w:rPr>
                <w:b/>
                <w:i/>
              </w:rPr>
              <w:t>egyetért abban</w:t>
            </w:r>
            <w:r w:rsidRPr="008F6B7A">
              <w:t xml:space="preserve">, </w:t>
            </w:r>
            <w:r w:rsidRPr="008F6B7A">
              <w:rPr>
                <w:b/>
                <w:i/>
              </w:rPr>
              <w:t>hogy azok a halált okozó autonóm fegyverek</w:t>
            </w:r>
            <w:r w:rsidRPr="008F6B7A">
              <w:t xml:space="preserve">, </w:t>
            </w:r>
            <w:r w:rsidRPr="008F6B7A">
              <w:rPr>
                <w:b/>
                <w:i/>
              </w:rPr>
              <w:t>amelyek a „támadások során nem teszik lehetővé</w:t>
            </w:r>
            <w:r w:rsidRPr="008F6B7A">
              <w:t xml:space="preserve"> az </w:t>
            </w:r>
            <w:r w:rsidRPr="008F6B7A">
              <w:rPr>
                <w:b/>
                <w:i/>
              </w:rPr>
              <w:t>érdemi emberi ellenőrzést a cél kiválasztására és a csapás végrehajtására vonatkozó döntések kapcsán”</w:t>
            </w:r>
            <w:r w:rsidRPr="008F6B7A">
              <w:t xml:space="preserve">, </w:t>
            </w:r>
            <w:r w:rsidRPr="008F6B7A">
              <w:rPr>
                <w:b/>
                <w:i/>
              </w:rPr>
              <w:t>nem jogosultak az Európai Védelmi Alap álta</w:t>
            </w:r>
            <w:r w:rsidRPr="008F6B7A">
              <w:rPr>
                <w:b/>
                <w:i/>
              </w:rPr>
              <w:t>l nyújtott pénzügyi támogatásra</w:t>
            </w:r>
            <w:r w:rsidRPr="008F6B7A">
              <w:t>; emlékeztet ezenfelül arra, hogy a következő Európai Hálózatfinanszírozási Eszköz – amely szintén támogatja az intelligens infrastruktúrát – finanszírozást fog biztosítani a polgári-katonai kettős felhasználású infrastruktúr</w:t>
            </w:r>
            <w:r w:rsidRPr="008F6B7A">
              <w:t>a kiépítésére, célul tűzve ki az Unió katonai mobilitásának javítását</w:t>
            </w:r>
            <w:r w:rsidRPr="008F6B7A">
              <w:rPr>
                <w:b/>
                <w:i/>
              </w:rPr>
              <w:t>, végezetül hangsúlyozza, hogy a robotok és a mesterséges intelligencia kiépítésének összhangban kell lennie a nemzetközi humanitárius joggal és a fegyveres konfliktusokra vonatkozó jogsz</w:t>
            </w:r>
            <w:r w:rsidRPr="008F6B7A">
              <w:rPr>
                <w:b/>
                <w:i/>
              </w:rPr>
              <w:t>abályokkal;</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50</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Henna Virkkunen, Elissavet Vozemberg-Vrionidi, Tom Berendsen, Tomasz Frankowski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w:t>
      </w:r>
      <w:r w:rsidRPr="008F6B7A">
        <w:rPr>
          <w:rStyle w:val="HideTWBExt"/>
          <w:b w:val="0"/>
          <w:noProof w:val="0"/>
        </w:rPr>
        <w:t>/DocAmend&gt;</w:t>
      </w:r>
    </w:p>
    <w:p w:rsidR="00060590" w:rsidRPr="008F6B7A" w:rsidRDefault="000565EC" w:rsidP="00060590">
      <w:pPr>
        <w:pStyle w:val="NormalBold"/>
      </w:pPr>
      <w:r w:rsidRPr="008F6B7A">
        <w:rPr>
          <w:rStyle w:val="HideTWBExt"/>
          <w:b w:val="0"/>
          <w:noProof w:val="0"/>
        </w:rPr>
        <w:t>&lt;Article&gt;</w:t>
      </w:r>
      <w:r w:rsidRPr="008F6B7A">
        <w:t>11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11.</w:t>
            </w:r>
            <w:r w:rsidRPr="008F6B7A">
              <w:tab/>
              <w:t xml:space="preserve">hangsúlyozza, hogy az Európai Védelmi Alapnak és az állandó strukturált együttműködésnek (PESCO) ösztönözniük kellene a tagállamok közötti együttműködést, illetve az európai </w:t>
            </w:r>
            <w:r w:rsidRPr="008F6B7A">
              <w:t>védelmi iparágakat arra, hogy új európai védelmi képességeket fejlesszenek ki az MI terén, gondot fordítva az utánpótlás biztonságára is, továbbá figyelembe véve az etikai megfontolásokat; emlékeztet ezenfelül arra, hogy a következő Európai Hálózatfinanszí</w:t>
            </w:r>
            <w:r w:rsidRPr="008F6B7A">
              <w:t>rozási Eszköz – amely szintén támogatja az intelligens infrastruktúrát – finanszírozást fog biztosítani a polgári-katonai kettős felhasználású infrastruktúra kiépítésére, célul tűzve ki az Unió katonai mobilitásának javítását.</w:t>
            </w:r>
          </w:p>
        </w:tc>
        <w:tc>
          <w:tcPr>
            <w:tcW w:w="4876" w:type="dxa"/>
            <w:hideMark/>
          </w:tcPr>
          <w:p w:rsidR="00060590" w:rsidRPr="008F6B7A" w:rsidRDefault="000565EC" w:rsidP="007C4967">
            <w:pPr>
              <w:pStyle w:val="Normal6"/>
              <w:rPr>
                <w:szCs w:val="24"/>
              </w:rPr>
            </w:pPr>
            <w:r w:rsidRPr="008F6B7A">
              <w:t>11.</w:t>
            </w:r>
            <w:r w:rsidRPr="008F6B7A">
              <w:tab/>
              <w:t>hangsúlyozza, hogy az Eur</w:t>
            </w:r>
            <w:r w:rsidRPr="008F6B7A">
              <w:t xml:space="preserve">ópai Védelmi Alapnak és az állandó strukturált együttműködésnek (PESCO) ösztönözniük kellene a tagállamok közötti együttműködést, illetve az európai védelmi iparágakat arra, hogy új európai védelmi képességeket fejlesszenek ki az MI terén, gondot fordítva </w:t>
            </w:r>
            <w:r w:rsidRPr="008F6B7A">
              <w:t xml:space="preserve">az utánpótlás biztonságára is, továbbá figyelembe véve az etikai megfontolásokat; </w:t>
            </w:r>
            <w:r w:rsidRPr="008F6B7A">
              <w:rPr>
                <w:b/>
                <w:i/>
              </w:rPr>
              <w:t>hangsúlyozza, hogy el kell kerülni a széttöredezettséget a különböző szereplők és alkalmazási területek közötti kapcsolatok kiépítése, az összeegyeztethetőség és az interoper</w:t>
            </w:r>
            <w:r w:rsidRPr="008F6B7A">
              <w:rPr>
                <w:b/>
                <w:i/>
              </w:rPr>
              <w:t>abilitás valamennyi szinten történő előmozdítása, valamint a közös mérnöki szintű munkára és platformmegoldásokra való összpontosítás révén;</w:t>
            </w:r>
            <w:r w:rsidRPr="008F6B7A">
              <w:t xml:space="preserve"> emlékeztet ezenfelül arra, hogy a következő Európai Hálózatfinanszírozási Eszköz – amely szintén támogatja az intel</w:t>
            </w:r>
            <w:r w:rsidRPr="008F6B7A">
              <w:t>ligens infrastruktúrát – finanszírozást fog biztosítani a polgári-katonai kettős felhasználású infrastruktúra kiépítésére, célul tűzve ki az Unió katonai mobilitásának javítását.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51</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Isabel García Muñoz</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bekezdés</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hideMark/>
          </w:tcPr>
          <w:p w:rsidR="00060590" w:rsidRPr="008F6B7A" w:rsidRDefault="000565EC" w:rsidP="00073109">
            <w:pPr>
              <w:pStyle w:val="Normal6"/>
            </w:pPr>
            <w:r w:rsidRPr="008F6B7A">
              <w:t>11.</w:t>
            </w:r>
            <w:r w:rsidRPr="008F6B7A">
              <w:tab/>
              <w:t xml:space="preserve">hangsúlyozza, hogy az Európai Védelmi Alapnak és az állandó strukturált </w:t>
            </w:r>
            <w:r w:rsidRPr="008F6B7A">
              <w:t>együttműködésnek (PESCO) ösztönözniük kellene a tagállamok közötti együttműködést, illetve az európai védelmi iparágakat arra, hogy új európai védelmi képességeket fejlesszenek ki az MI terén, gondot fordítva az utánpótlás biztonságára is, továbbá figyelem</w:t>
            </w:r>
            <w:r w:rsidRPr="008F6B7A">
              <w:t>be véve az etikai megfontolásokat; emlékeztet ezenfelül arra, hogy a következő Európai Hálózatfinanszírozási Eszköz – amely szintén támogatja az intelligens infrastruktúrát – finanszírozást fog biztosítani a polgári-katonai kettős felhasználású infrastrukt</w:t>
            </w:r>
            <w:r w:rsidRPr="008F6B7A">
              <w:t>úra kiépítésére, célul tűzve ki az Unió katonai mobilitásának javítását.</w:t>
            </w:r>
          </w:p>
        </w:tc>
        <w:tc>
          <w:tcPr>
            <w:tcW w:w="4876" w:type="dxa"/>
            <w:hideMark/>
          </w:tcPr>
          <w:p w:rsidR="00060590" w:rsidRPr="008F6B7A" w:rsidRDefault="000565EC" w:rsidP="00060590">
            <w:pPr>
              <w:pStyle w:val="Normal6"/>
              <w:rPr>
                <w:szCs w:val="24"/>
              </w:rPr>
            </w:pPr>
            <w:r w:rsidRPr="008F6B7A">
              <w:t>11.</w:t>
            </w:r>
            <w:r w:rsidRPr="008F6B7A">
              <w:tab/>
              <w:t>hangsúlyozza, hogy az Európai Védelmi Alapnak és az állandó strukturált együttműködésnek (PESCO) ösztönözniük kellene a tagállamok közötti együttműködést, illetve az európai védel</w:t>
            </w:r>
            <w:r w:rsidRPr="008F6B7A">
              <w:t>mi iparágakat arra, hogy új európai védelmi képességeket fejlesszenek ki az MI terén, gondot fordítva az utánpótlás biztonságára is, továbbá figyelembe véve az etikai megfontolásokat; emlékeztet ezenfelül arra, hogy a következő Európai Hálózatfinanszírozás</w:t>
            </w:r>
            <w:r w:rsidRPr="008F6B7A">
              <w:t xml:space="preserve">i Eszköz – amely szintén támogatja az intelligens infrastruktúrát – finanszírozást fog biztosítani a polgári-katonai kettős felhasználású </w:t>
            </w:r>
            <w:r w:rsidRPr="008F6B7A">
              <w:rPr>
                <w:b/>
                <w:i/>
              </w:rPr>
              <w:t xml:space="preserve">közlekedési </w:t>
            </w:r>
            <w:r w:rsidRPr="008F6B7A">
              <w:t xml:space="preserve">infrastruktúra </w:t>
            </w:r>
            <w:r w:rsidRPr="008F6B7A">
              <w:rPr>
                <w:b/>
                <w:i/>
              </w:rPr>
              <w:t xml:space="preserve">adaptálására és </w:t>
            </w:r>
            <w:r w:rsidRPr="008F6B7A">
              <w:t>kiépítésére, célul tűzve ki</w:t>
            </w:r>
            <w:r w:rsidRPr="008F6B7A">
              <w:rPr>
                <w:b/>
                <w:i/>
              </w:rPr>
              <w:t xml:space="preserve"> a védelmi szükségletek és a transzeurópai közle</w:t>
            </w:r>
            <w:r w:rsidRPr="008F6B7A">
              <w:rPr>
                <w:b/>
                <w:i/>
              </w:rPr>
              <w:t>kedési hálózat (TEN-T) közötti szinergiák növelését, valamint</w:t>
            </w:r>
            <w:r w:rsidRPr="008F6B7A">
              <w:t xml:space="preserve"> az Unió katonai mobilitásának javítását.</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t>__________________</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vertAlign w:val="superscript"/>
              </w:rPr>
              <w:t>1a</w:t>
            </w:r>
            <w:r w:rsidRPr="008F6B7A">
              <w:rPr>
                <w:b/>
                <w:i/>
              </w:rPr>
              <w:t xml:space="preserve"> az Európai Parlament 2019. április 17-i jogalkotási állásfoglalása az Európai Hálózatfinanszírozási Eszköz létrehozásáról, valamint az 1316/2013/EU és a 283/2014/EU rendelet hatályon kívül helyezéséről szóló európai parlamenti és tanácsi rendeletről.</w:t>
            </w:r>
          </w:p>
        </w:tc>
      </w:tr>
    </w:tbl>
    <w:p w:rsidR="00060590" w:rsidRPr="008F6B7A" w:rsidRDefault="000565EC" w:rsidP="00060590">
      <w:pPr>
        <w:pStyle w:val="Olang"/>
        <w:rPr>
          <w:noProof w:val="0"/>
        </w:rPr>
      </w:pPr>
      <w:r w:rsidRPr="008F6B7A">
        <w:rPr>
          <w:noProof w:val="0"/>
        </w:rPr>
        <w:t>Or.</w:t>
      </w:r>
      <w:r w:rsidRPr="008F6B7A">
        <w:rPr>
          <w:noProof w:val="0"/>
        </w:rPr>
        <w:t xml:space="preserve"> </w:t>
      </w:r>
      <w:r w:rsidRPr="008F6B7A">
        <w:rPr>
          <w:rStyle w:val="HideTWBExt"/>
          <w:noProof w:val="0"/>
        </w:rPr>
        <w:t>&lt;Original&gt;</w:t>
      </w:r>
      <w:r w:rsidRPr="008F6B7A">
        <w:rPr>
          <w:rStyle w:val="HideTWBInt"/>
          <w:noProof w:val="0"/>
        </w:rPr>
        <w:t>{ES}</w:t>
      </w:r>
      <w:r w:rsidRPr="008F6B7A">
        <w:rPr>
          <w:noProof w:val="0"/>
        </w:rPr>
        <w:t>es</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52</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 Kovařík, Caroline Nagtegaal</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11a.</w:t>
            </w:r>
            <w:r w:rsidRPr="008F6B7A">
              <w:rPr>
                <w:b/>
                <w:i/>
              </w:rPr>
              <w:tab/>
              <w:t>hangsúlyozza, hogy a készletek, a lőszerek, a fegyverek és a csapatok hatékony szállítása a sikeres katonai műveletek alapvető eleme; hangsúlyozza, hogy a mesterséges intelligencia várhatóan döntő szerepet fog játszani a katonai logisztik</w:t>
            </w:r>
            <w:r w:rsidRPr="008F6B7A">
              <w:rPr>
                <w:b/>
                <w:i/>
              </w:rPr>
              <w:t>ában és szállításban; rámutat arra, hogy a világ különböző országai – köztük az európai tagállamok – mesterséges intelligenciát alkalmazó fegyvereket és egyéb rendszereket építenek be szárazföldi, haditengerészeti és légi platformjaikba; emlékeztet arra, h</w:t>
            </w:r>
            <w:r w:rsidRPr="008F6B7A">
              <w:rPr>
                <w:b/>
                <w:i/>
              </w:rPr>
              <w:t>ogy a mesterséges intelligenciának a közlekedési ágazatban történő alkalmazása új hadi képességeket biztosíthat és új taktikákat tehet lehetővé, mint például számos rendszer – például drónok, pilóta nélküli hajók vagy tankok – független és összehangolt műv</w:t>
            </w:r>
            <w:r w:rsidRPr="008F6B7A">
              <w:rPr>
                <w:b/>
                <w:i/>
              </w:rPr>
              <w:t>eletek keretében történő kombinációja;</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53</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Josianne Cutajar, Isabel García Muñoz, Sara Cerdas, Maria Grapini</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a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73109">
            <w:pPr>
              <w:pStyle w:val="Normal6"/>
              <w:rPr>
                <w:szCs w:val="24"/>
              </w:rPr>
            </w:pPr>
            <w:r w:rsidRPr="008F6B7A">
              <w:rPr>
                <w:b/>
                <w:i/>
              </w:rPr>
              <w:t>11a.</w:t>
            </w:r>
            <w:r w:rsidRPr="008F6B7A">
              <w:rPr>
                <w:b/>
                <w:i/>
              </w:rPr>
              <w:tab/>
              <w:t xml:space="preserve">felhívja a figyelmet a halált okozó autonóm fegyverrendszerekről (LAWS) folyó nemzetközi vitára; felhívja az EU-t, hogy gondosan értékelje és elemezze az </w:t>
            </w:r>
            <w:r w:rsidRPr="008F6B7A">
              <w:rPr>
                <w:b/>
                <w:i/>
              </w:rPr>
              <w:t>LAWS és a közlekedési infrastruktúra közötti kölcsönhatást, többek között a biztonsággal és a magánélet védelmével kapcsolatos vonatkozások miatt.</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w:t>
      </w:r>
    </w:p>
    <w:p w:rsidR="00060590" w:rsidRPr="008F6B7A" w:rsidRDefault="000565EC" w:rsidP="00060590">
      <w:pPr>
        <w:pStyle w:val="AMNumberTabs0"/>
        <w:keepNext/>
      </w:pPr>
      <w:r w:rsidRPr="008F6B7A">
        <w:rPr>
          <w:rStyle w:val="HideTWBExt"/>
          <w:b w:val="0"/>
          <w:noProof w:val="0"/>
        </w:rPr>
        <w:t>&lt;Amend&gt;</w:t>
      </w:r>
      <w:r w:rsidRPr="008F6B7A">
        <w:t>Módosítás</w:t>
      </w:r>
      <w:r w:rsidRPr="008F6B7A">
        <w:tab/>
      </w:r>
      <w:r w:rsidRPr="008F6B7A">
        <w:tab/>
      </w:r>
      <w:r w:rsidRPr="008F6B7A">
        <w:rPr>
          <w:rStyle w:val="HideTWBExt"/>
          <w:b w:val="0"/>
          <w:noProof w:val="0"/>
        </w:rPr>
        <w:t>&lt;NumAm&gt;</w:t>
      </w:r>
      <w:r w:rsidRPr="008F6B7A">
        <w:t>54</w:t>
      </w:r>
      <w:r w:rsidRPr="008F6B7A">
        <w:rPr>
          <w:rStyle w:val="HideTWBExt"/>
          <w:b w:val="0"/>
          <w:noProof w:val="0"/>
        </w:rPr>
        <w:t>&lt;/NumAm&gt;</w:t>
      </w:r>
    </w:p>
    <w:p w:rsidR="00060590" w:rsidRPr="008F6B7A" w:rsidRDefault="000565EC" w:rsidP="00060590">
      <w:pPr>
        <w:pStyle w:val="NormalBold"/>
      </w:pPr>
      <w:r w:rsidRPr="008F6B7A">
        <w:rPr>
          <w:rStyle w:val="HideTWBExt"/>
          <w:b w:val="0"/>
          <w:noProof w:val="0"/>
        </w:rPr>
        <w:t>&lt;RepeatBlock-By&gt;&lt;Members&gt;</w:t>
      </w:r>
      <w:r w:rsidRPr="008F6B7A">
        <w:t>Ondřej</w:t>
      </w:r>
      <w:r w:rsidRPr="008F6B7A">
        <w:t xml:space="preserve"> Kovařík, Caroline Nagtegaal</w:t>
      </w:r>
      <w:r w:rsidRPr="008F6B7A">
        <w:rPr>
          <w:rStyle w:val="HideTWBExt"/>
          <w:b w:val="0"/>
          <w:noProof w:val="0"/>
        </w:rPr>
        <w:t>&lt;/Members&gt;</w:t>
      </w:r>
    </w:p>
    <w:p w:rsidR="00060590" w:rsidRPr="008F6B7A" w:rsidRDefault="000565EC" w:rsidP="00060590">
      <w:r w:rsidRPr="008F6B7A">
        <w:rPr>
          <w:rStyle w:val="HideTWBExt"/>
          <w:noProof w:val="0"/>
        </w:rPr>
        <w:t>&lt;/RepeatBlock-By&gt;</w:t>
      </w:r>
    </w:p>
    <w:p w:rsidR="00060590" w:rsidRPr="008F6B7A" w:rsidRDefault="000565EC" w:rsidP="00060590">
      <w:pPr>
        <w:pStyle w:val="NormalBold"/>
        <w:keepNext/>
      </w:pPr>
      <w:r w:rsidRPr="008F6B7A">
        <w:rPr>
          <w:rStyle w:val="HideTWBExt"/>
          <w:b w:val="0"/>
          <w:noProof w:val="0"/>
        </w:rPr>
        <w:t>&lt;DocAmend&gt;</w:t>
      </w:r>
      <w:r w:rsidRPr="008F6B7A">
        <w:t>Véleménytervezet</w:t>
      </w:r>
      <w:r w:rsidRPr="008F6B7A">
        <w:rPr>
          <w:rStyle w:val="HideTWBExt"/>
          <w:b w:val="0"/>
          <w:noProof w:val="0"/>
        </w:rPr>
        <w:t>&lt;/DocAmend&gt;</w:t>
      </w:r>
    </w:p>
    <w:p w:rsidR="00060590" w:rsidRPr="008F6B7A" w:rsidRDefault="000565EC" w:rsidP="00060590">
      <w:pPr>
        <w:pStyle w:val="NormalBold"/>
      </w:pPr>
      <w:r w:rsidRPr="008F6B7A">
        <w:rPr>
          <w:rStyle w:val="HideTWBExt"/>
          <w:b w:val="0"/>
          <w:noProof w:val="0"/>
        </w:rPr>
        <w:t>&lt;Article&gt;</w:t>
      </w:r>
      <w:r w:rsidRPr="008F6B7A">
        <w:t>11 b bekezdés (új)</w:t>
      </w:r>
      <w:r w:rsidRPr="008F6B7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52603" w:rsidRPr="008F6B7A" w:rsidTr="00073109">
        <w:trPr>
          <w:jc w:val="center"/>
        </w:trPr>
        <w:tc>
          <w:tcPr>
            <w:tcW w:w="9752" w:type="dxa"/>
            <w:gridSpan w:val="2"/>
          </w:tcPr>
          <w:p w:rsidR="00060590" w:rsidRPr="008F6B7A" w:rsidRDefault="00060590" w:rsidP="00073109">
            <w:pPr>
              <w:keepNext/>
            </w:pPr>
          </w:p>
        </w:tc>
      </w:tr>
      <w:tr w:rsidR="00552603" w:rsidRPr="008F6B7A" w:rsidTr="00073109">
        <w:trPr>
          <w:jc w:val="center"/>
        </w:trPr>
        <w:tc>
          <w:tcPr>
            <w:tcW w:w="4876" w:type="dxa"/>
            <w:hideMark/>
          </w:tcPr>
          <w:p w:rsidR="00060590" w:rsidRPr="008F6B7A" w:rsidRDefault="000565EC" w:rsidP="00073109">
            <w:pPr>
              <w:pStyle w:val="ColumnHeading"/>
              <w:keepNext/>
            </w:pPr>
            <w:r w:rsidRPr="008F6B7A">
              <w:t>Véleménytervezet</w:t>
            </w:r>
          </w:p>
        </w:tc>
        <w:tc>
          <w:tcPr>
            <w:tcW w:w="4876" w:type="dxa"/>
            <w:hideMark/>
          </w:tcPr>
          <w:p w:rsidR="00060590" w:rsidRPr="008F6B7A" w:rsidRDefault="000565EC" w:rsidP="00073109">
            <w:pPr>
              <w:pStyle w:val="ColumnHeading"/>
              <w:keepNext/>
            </w:pPr>
            <w:r w:rsidRPr="008F6B7A">
              <w:t>Módosítás</w:t>
            </w:r>
          </w:p>
        </w:tc>
      </w:tr>
      <w:tr w:rsidR="00552603" w:rsidRPr="008F6B7A" w:rsidTr="00073109">
        <w:trPr>
          <w:jc w:val="center"/>
        </w:trPr>
        <w:tc>
          <w:tcPr>
            <w:tcW w:w="4876" w:type="dxa"/>
          </w:tcPr>
          <w:p w:rsidR="00060590" w:rsidRPr="008F6B7A" w:rsidRDefault="00060590" w:rsidP="00073109">
            <w:pPr>
              <w:pStyle w:val="Normal6"/>
            </w:pPr>
          </w:p>
        </w:tc>
        <w:tc>
          <w:tcPr>
            <w:tcW w:w="4876" w:type="dxa"/>
            <w:hideMark/>
          </w:tcPr>
          <w:p w:rsidR="00060590" w:rsidRPr="008F6B7A" w:rsidRDefault="000565EC" w:rsidP="00060590">
            <w:pPr>
              <w:pStyle w:val="Normal6"/>
              <w:rPr>
                <w:szCs w:val="24"/>
              </w:rPr>
            </w:pPr>
            <w:r w:rsidRPr="008F6B7A">
              <w:rPr>
                <w:b/>
                <w:i/>
              </w:rPr>
              <w:t>11b.</w:t>
            </w:r>
            <w:r w:rsidRPr="008F6B7A">
              <w:rPr>
                <w:b/>
                <w:i/>
              </w:rPr>
              <w:tab/>
              <w:t xml:space="preserve">emlékeztet arra, hogy a kialakulóban lévő katonai technológiák, például a halált okozó </w:t>
            </w:r>
            <w:r w:rsidRPr="008F6B7A">
              <w:rPr>
                <w:b/>
                <w:i/>
              </w:rPr>
              <w:t>autonóm fegyverrendszerek (LAWS) szabályozására vonatkozóan eddig nem sikerült elérni nemzetközi megállapodást, és emlékeztet arra, hogy az EU egésze csak a közelmúltban állapodott meg abban, hogy megvitatja a mesterséges intelligenciával kapcsolatos fejle</w:t>
            </w:r>
            <w:r w:rsidRPr="008F6B7A">
              <w:rPr>
                <w:b/>
                <w:i/>
              </w:rPr>
              <w:t>ményeknek és a digitalizációnak a védelmi ágazatra gyakorolt hatásait; úgy véli, hogy az EU döntő szerepet játszhat abban, hogy segítse a tagállamokat a katonai mesterséges intelligenciával kapcsolatos megközelítésük összehangolásában, hogy vezető szerepet</w:t>
            </w:r>
            <w:r w:rsidRPr="008F6B7A">
              <w:rPr>
                <w:b/>
                <w:i/>
              </w:rPr>
              <w:t xml:space="preserve"> tölthessenek be a nemzetközi megbeszélések során.</w:t>
            </w:r>
          </w:p>
        </w:tc>
      </w:tr>
    </w:tbl>
    <w:p w:rsidR="00060590" w:rsidRPr="008F6B7A" w:rsidRDefault="000565EC" w:rsidP="00060590">
      <w:pPr>
        <w:pStyle w:val="Olang"/>
        <w:rPr>
          <w:noProof w:val="0"/>
        </w:rPr>
      </w:pPr>
      <w:r w:rsidRPr="008F6B7A">
        <w:rPr>
          <w:noProof w:val="0"/>
        </w:rPr>
        <w:t xml:space="preserve">Or. </w:t>
      </w:r>
      <w:r w:rsidRPr="008F6B7A">
        <w:rPr>
          <w:rStyle w:val="HideTWBExt"/>
          <w:noProof w:val="0"/>
        </w:rPr>
        <w:t>&lt;Original&gt;</w:t>
      </w:r>
      <w:r w:rsidRPr="008F6B7A">
        <w:rPr>
          <w:rStyle w:val="HideTWBInt"/>
          <w:noProof w:val="0"/>
        </w:rPr>
        <w:t>{EN}</w:t>
      </w:r>
      <w:r w:rsidRPr="008F6B7A">
        <w:rPr>
          <w:noProof w:val="0"/>
        </w:rPr>
        <w:t>en</w:t>
      </w:r>
      <w:r w:rsidRPr="008F6B7A">
        <w:rPr>
          <w:rStyle w:val="HideTWBExt"/>
          <w:noProof w:val="0"/>
        </w:rPr>
        <w:t>&lt;/Original&gt;</w:t>
      </w:r>
    </w:p>
    <w:p w:rsidR="00060590" w:rsidRPr="008F6B7A" w:rsidRDefault="000565EC" w:rsidP="00060590">
      <w:r w:rsidRPr="008F6B7A">
        <w:rPr>
          <w:rStyle w:val="HideTWBExt"/>
          <w:noProof w:val="0"/>
        </w:rPr>
        <w:t>&lt;/Amend&gt;&lt;/RepeatBlock-Amend&gt;</w:t>
      </w:r>
    </w:p>
    <w:p w:rsidR="00C04A06" w:rsidRPr="008F6B7A" w:rsidRDefault="00C04A06" w:rsidP="00060590"/>
    <w:p w:rsidR="004F7EAC" w:rsidRPr="008F6B7A" w:rsidRDefault="004F7EAC" w:rsidP="00C04A06">
      <w:pPr>
        <w:pStyle w:val="AmNumberTabs"/>
        <w:keepNext/>
      </w:pPr>
    </w:p>
    <w:sectPr w:rsidR="004F7EAC" w:rsidRPr="008F6B7A" w:rsidSect="008F6B7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8F6B7A" w:rsidRDefault="000565EC">
      <w:r w:rsidRPr="008F6B7A">
        <w:separator/>
      </w:r>
    </w:p>
  </w:endnote>
  <w:endnote w:type="continuationSeparator" w:id="0">
    <w:p w:rsidR="00000000" w:rsidRPr="008F6B7A" w:rsidRDefault="000565EC">
      <w:r w:rsidRPr="008F6B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A" w:rsidRPr="008F6B7A" w:rsidRDefault="008F6B7A" w:rsidP="008F6B7A">
    <w:pPr>
      <w:pStyle w:val="EPFooter"/>
    </w:pPr>
    <w:r w:rsidRPr="008F6B7A">
      <w:t>PE</w:t>
    </w:r>
    <w:r w:rsidRPr="008F6B7A">
      <w:rPr>
        <w:rStyle w:val="HideTWBExt"/>
        <w:noProof w:val="0"/>
      </w:rPr>
      <w:t>&lt;NoPE&gt;</w:t>
    </w:r>
    <w:r w:rsidRPr="008F6B7A">
      <w:t>652.622</w:t>
    </w:r>
    <w:r w:rsidRPr="008F6B7A">
      <w:rPr>
        <w:rStyle w:val="HideTWBExt"/>
        <w:noProof w:val="0"/>
      </w:rPr>
      <w:t>&lt;/NoPE&gt;&lt;Version&gt;</w:t>
    </w:r>
    <w:r w:rsidRPr="008F6B7A">
      <w:t>v01-00</w:t>
    </w:r>
    <w:r w:rsidRPr="008F6B7A">
      <w:rPr>
        <w:rStyle w:val="HideTWBExt"/>
        <w:noProof w:val="0"/>
      </w:rPr>
      <w:t>&lt;/Version&gt;</w:t>
    </w:r>
    <w:r w:rsidRPr="008F6B7A">
      <w:tab/>
    </w:r>
    <w:r w:rsidRPr="008F6B7A">
      <w:fldChar w:fldCharType="begin"/>
    </w:r>
    <w:r w:rsidRPr="008F6B7A">
      <w:instrText xml:space="preserve"> PAGE  \* MERGEFORMAT </w:instrText>
    </w:r>
    <w:r w:rsidRPr="008F6B7A">
      <w:fldChar w:fldCharType="separate"/>
    </w:r>
    <w:r w:rsidR="000565EC">
      <w:rPr>
        <w:noProof/>
      </w:rPr>
      <w:t>2</w:t>
    </w:r>
    <w:r w:rsidRPr="008F6B7A">
      <w:fldChar w:fldCharType="end"/>
    </w:r>
    <w:r w:rsidRPr="008F6B7A">
      <w:t>/</w:t>
    </w:r>
    <w:fldSimple w:instr=" NUMPAGES  \* MERGEFORMAT ">
      <w:r w:rsidR="000565EC">
        <w:rPr>
          <w:noProof/>
        </w:rPr>
        <w:t>35</w:t>
      </w:r>
    </w:fldSimple>
    <w:r w:rsidRPr="008F6B7A">
      <w:tab/>
    </w:r>
    <w:r w:rsidRPr="008F6B7A">
      <w:rPr>
        <w:rStyle w:val="HideTWBExt"/>
        <w:noProof w:val="0"/>
      </w:rPr>
      <w:t>&lt;PathFdR&gt;</w:t>
    </w:r>
    <w:r w:rsidRPr="008F6B7A">
      <w:t>AM\1206728HU.docx</w:t>
    </w:r>
    <w:r w:rsidRPr="008F6B7A">
      <w:rPr>
        <w:rStyle w:val="HideTWBExt"/>
        <w:noProof w:val="0"/>
      </w:rPr>
      <w:t>&lt;/PathFdR&gt;</w:t>
    </w:r>
  </w:p>
  <w:p w:rsidR="002E29E1" w:rsidRPr="008F6B7A" w:rsidRDefault="008F6B7A" w:rsidP="008F6B7A">
    <w:pPr>
      <w:pStyle w:val="EPFooter2"/>
    </w:pPr>
    <w:r w:rsidRPr="008F6B7A">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A" w:rsidRPr="008F6B7A" w:rsidRDefault="008F6B7A" w:rsidP="008F6B7A">
    <w:pPr>
      <w:pStyle w:val="EPFooter"/>
    </w:pPr>
    <w:r w:rsidRPr="008F6B7A">
      <w:rPr>
        <w:rStyle w:val="HideTWBExt"/>
        <w:noProof w:val="0"/>
      </w:rPr>
      <w:t>&lt;PathFdR&gt;</w:t>
    </w:r>
    <w:r w:rsidRPr="008F6B7A">
      <w:t>AM\1206728HU.docx</w:t>
    </w:r>
    <w:r w:rsidRPr="008F6B7A">
      <w:rPr>
        <w:rStyle w:val="HideTWBExt"/>
        <w:noProof w:val="0"/>
      </w:rPr>
      <w:t>&lt;/PathFdR&gt;</w:t>
    </w:r>
    <w:r w:rsidRPr="008F6B7A">
      <w:tab/>
    </w:r>
    <w:r w:rsidRPr="008F6B7A">
      <w:fldChar w:fldCharType="begin"/>
    </w:r>
    <w:r w:rsidRPr="008F6B7A">
      <w:instrText xml:space="preserve"> PAGE  \* MERGEFORMAT </w:instrText>
    </w:r>
    <w:r w:rsidRPr="008F6B7A">
      <w:fldChar w:fldCharType="separate"/>
    </w:r>
    <w:r w:rsidR="000565EC">
      <w:rPr>
        <w:noProof/>
      </w:rPr>
      <w:t>33</w:t>
    </w:r>
    <w:r w:rsidRPr="008F6B7A">
      <w:fldChar w:fldCharType="end"/>
    </w:r>
    <w:r w:rsidRPr="008F6B7A">
      <w:t>/</w:t>
    </w:r>
    <w:fldSimple w:instr=" NUMPAGES  \* MERGEFORMAT ">
      <w:r w:rsidR="000565EC">
        <w:rPr>
          <w:noProof/>
        </w:rPr>
        <w:t>35</w:t>
      </w:r>
    </w:fldSimple>
    <w:r w:rsidRPr="008F6B7A">
      <w:tab/>
      <w:t>PE</w:t>
    </w:r>
    <w:r w:rsidRPr="008F6B7A">
      <w:rPr>
        <w:rStyle w:val="HideTWBExt"/>
        <w:noProof w:val="0"/>
      </w:rPr>
      <w:t>&lt;NoPE&gt;</w:t>
    </w:r>
    <w:r w:rsidRPr="008F6B7A">
      <w:t>652.622</w:t>
    </w:r>
    <w:r w:rsidRPr="008F6B7A">
      <w:rPr>
        <w:rStyle w:val="HideTWBExt"/>
        <w:noProof w:val="0"/>
      </w:rPr>
      <w:t>&lt;/NoPE&gt;&lt;Version&gt;</w:t>
    </w:r>
    <w:r w:rsidRPr="008F6B7A">
      <w:t>v01-00</w:t>
    </w:r>
    <w:r w:rsidRPr="008F6B7A">
      <w:rPr>
        <w:rStyle w:val="HideTWBExt"/>
        <w:noProof w:val="0"/>
      </w:rPr>
      <w:t>&lt;/Version&gt;</w:t>
    </w:r>
  </w:p>
  <w:p w:rsidR="002E29E1" w:rsidRPr="008F6B7A" w:rsidRDefault="008F6B7A" w:rsidP="008F6B7A">
    <w:pPr>
      <w:pStyle w:val="EPFooter2"/>
    </w:pPr>
    <w:r w:rsidRPr="008F6B7A">
      <w:tab/>
    </w:r>
    <w:r w:rsidRPr="008F6B7A">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A" w:rsidRPr="008F6B7A" w:rsidRDefault="008F6B7A" w:rsidP="008F6B7A">
    <w:pPr>
      <w:pStyle w:val="EPFooter"/>
    </w:pPr>
    <w:r w:rsidRPr="008F6B7A">
      <w:rPr>
        <w:rStyle w:val="HideTWBExt"/>
        <w:noProof w:val="0"/>
      </w:rPr>
      <w:t>&lt;PathFdR&gt;</w:t>
    </w:r>
    <w:r w:rsidRPr="008F6B7A">
      <w:t>AM\1206728HU.docx</w:t>
    </w:r>
    <w:r w:rsidRPr="008F6B7A">
      <w:rPr>
        <w:rStyle w:val="HideTWBExt"/>
        <w:noProof w:val="0"/>
      </w:rPr>
      <w:t>&lt;/PathFdR&gt;</w:t>
    </w:r>
    <w:r w:rsidRPr="008F6B7A">
      <w:tab/>
    </w:r>
    <w:r w:rsidRPr="008F6B7A">
      <w:tab/>
      <w:t>PE</w:t>
    </w:r>
    <w:r w:rsidRPr="008F6B7A">
      <w:rPr>
        <w:rStyle w:val="HideTWBExt"/>
        <w:noProof w:val="0"/>
      </w:rPr>
      <w:t>&lt;NoPE&gt;</w:t>
    </w:r>
    <w:r w:rsidRPr="008F6B7A">
      <w:t>652.622</w:t>
    </w:r>
    <w:r w:rsidRPr="008F6B7A">
      <w:rPr>
        <w:rStyle w:val="HideTWBExt"/>
        <w:noProof w:val="0"/>
      </w:rPr>
      <w:t>&lt;/NoPE&gt;&lt;Version&gt;</w:t>
    </w:r>
    <w:r w:rsidRPr="008F6B7A">
      <w:t>v01-00</w:t>
    </w:r>
    <w:r w:rsidRPr="008F6B7A">
      <w:rPr>
        <w:rStyle w:val="HideTWBExt"/>
        <w:noProof w:val="0"/>
      </w:rPr>
      <w:t>&lt;/Version&gt;</w:t>
    </w:r>
  </w:p>
  <w:p w:rsidR="002E29E1" w:rsidRPr="008F6B7A" w:rsidRDefault="008F6B7A" w:rsidP="008F6B7A">
    <w:pPr>
      <w:pStyle w:val="EPFooter2"/>
    </w:pPr>
    <w:r w:rsidRPr="008F6B7A">
      <w:t>HU</w:t>
    </w:r>
    <w:r w:rsidRPr="008F6B7A">
      <w:tab/>
    </w:r>
    <w:r w:rsidRPr="008F6B7A">
      <w:rPr>
        <w:b w:val="0"/>
        <w:i/>
        <w:color w:val="C0C0C0"/>
        <w:sz w:val="22"/>
      </w:rPr>
      <w:t>Egyesülve a sokféleségben</w:t>
    </w:r>
    <w:r w:rsidRPr="008F6B7A">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8F6B7A" w:rsidRDefault="000565EC">
      <w:r w:rsidRPr="008F6B7A">
        <w:separator/>
      </w:r>
    </w:p>
  </w:footnote>
  <w:footnote w:type="continuationSeparator" w:id="0">
    <w:p w:rsidR="00000000" w:rsidRPr="008F6B7A" w:rsidRDefault="000565EC">
      <w:r w:rsidRPr="008F6B7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8E" w:rsidRDefault="003E1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8E" w:rsidRDefault="003E1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8E" w:rsidRDefault="003E1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2"/>
    <w:docVar w:name="CODEMNU" w:val=" 1"/>
    <w:docVar w:name="COMMKEY" w:val="TRAN"/>
    <w:docVar w:name="CVar" w:val="1"/>
    <w:docVar w:name="DOCDT" w:val="04/06/2020"/>
    <w:docVar w:name="iNoAmend" w:val="1"/>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618495 HideTWBExt;}{\*\cs18 \additive \v\f1\fs20\cf15 _x000d__x000a_\spriority0 \styrsid4618495 HideTWBInt;}{\s19\qr \li0\ri0\sb240\sa240\nowidctlpar\wrapdefault\aspalpha\aspnum\faauto\adjustright\rin0\lin0\itap0 \rtlch\fcs1 \af0\afs20\alang1025 \ltrch\fcs0 \fs24\lang2057\langfe2057\cgrid\langnp2057\langfenp2057 _x000d__x000a_\sbasedon0 \snext19 \spriority0 \styrsid4618495 AmOrLang;}{\s20\ql \li0\ri0\sa120\nowidctlpar\wrapdefault\aspalpha\aspnum\faauto\adjustright\rin0\lin0\itap0 \rtlch\fcs1 \af0\afs20\alang1025 \ltrch\fcs0 _x000d__x000a_\fs24\lang2057\langfe2057\cgrid\langnp2057\langfenp2057 \sbasedon0 \snext20 \spriority0 \styrsid4618495 Normal6a;}{\s21\ql \li0\ri0\nowidctlpar\wrapdefault\aspalpha\aspnum\faauto\adjustright\rin0\lin0\itap0 \rtlch\fcs1 \af0\afs20\alang1025 \ltrch\fcs0 _x000d__x000a_\b\fs24\lang2057\langfe2057\cgrid\langnp2057\langfenp2057 \sbasedon0 \snext21 \spriority0 \styrsid4618495 NormalBold;}{\s22\qc \li0\ri0\sa240\nowidctlpar\wrapdefault\aspalpha\aspnum\faauto\adjustright\rin0\lin0\itap0 \rtlch\fcs1 \af0\afs20\alang1025 _x000d__x000a_\ltrch\fcs0 \i\fs24\lang2057\langfe2057\cgrid\langnp2057\langfenp2057 \sbasedon0 \snext22 \spriority0 \styrsid4618495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4618495 AmNumberTabs;}}{\*\rsidtbl \rsid24658\rsid223860\rsid735077\rsid1718133\rsid2892074\rsid3565327\rsid4618495\rsid4666813\rsid6641733_x000d__x000a_\rsid7823322\rsid9636012\rsid10377208\rsid11215221\rsid11549030\rsid12154954\rsid13386075\rsid14382809\rsid14424199\rsid15204470\rsid15285974\rsid15950462\rsid16324206\rsid16662270}{\mmathPr\mmathFont34\mbrkBin0\mbrkBinSub0\msmallFrac0\mdispDef1\mlMargin0_x000d__x000a_\mrMargin0\mdefJc1\mwrapIndent1440\mintLim0\mnaryLim1}{\info{\author SOLL Susan Benzon}{\operator SOLL Susan Benzon}{\creatim\yr2020\mo6\dy4\hr19\min59}{\revtim\yr2020\mo6\dy4\hr19\min59}{\version1}{\edmins0}{\nofpages1}{\nofwords65}{\nofchars373}_x000d__x000a_{\nofcharsws43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18495\newtblstyruls\nogrowautofit\usenormstyforlist\noindnmbrts\felnbrelev\nocxsptable\indrlsweleven\noafcnsttbl\afelev\utinl\hwelev\spltpgpar\notcvasp\notbrkcnstfrctbl\notvatxbx\krnprsnet\cachedcolbal _x000d__x000a_\nouicompat \fet0{\*\wgrffmtfilter 013f}\nofeaturethrottle1\ilfomacatclnup0{\*\template C:\\Users\\ssoll\\AppData\\Local\\Temp\\Blank1.dotx}{\*\ftnsep \ltrpar \pard\plain \ltrpar_x000d__x000a_\ql \li0\ri0\widctlpar\wrapdefault\aspalpha\aspnum\faauto\adjustright\rin0\lin0\itap0 \rtlch\fcs1 \af0\afs20\alang1025 \ltrch\fcs0 \fs24\lang2057\langfe2057\cgrid\langnp2057\langfenp2057 {\rtlch\fcs1 \af0 \ltrch\fcs0 \insrsid13386075 \chftnsep _x000d__x000a_\par }}{\*\ftnsepc \ltrpar \pard\plain \ltrpar\ql \li0\ri0\widctlpar\wrapdefault\aspalpha\aspnum\faauto\adjustright\rin0\lin0\itap0 \rtlch\fcs1 \af0\afs20\alang1025 \ltrch\fcs0 \fs24\lang2057\langfe2057\cgrid\langnp2057\langfenp2057 {\rtlch\fcs1 \af0 _x000d__x000a_\ltrch\fcs0 \insrsid13386075 \chftnsepc _x000d__x000a_\par }}{\*\aftnsep \ltrpar \pard\plain \ltrpar\ql \li0\ri0\widctlpar\wrapdefault\aspalpha\aspnum\faauto\adjustright\rin0\lin0\itap0 \rtlch\fcs1 \af0\afs20\alang1025 \ltrch\fcs0 \fs24\lang2057\langfe2057\cgrid\langnp2057\langfenp2057 {\rtlch\fcs1 \af0 _x000d__x000a_\ltrch\fcs0 \insrsid13386075 \chftnsep _x000d__x000a_\par }}{\*\aftnsepc \ltrpar \pard\plain \ltrpar\ql \li0\ri0\widctlpar\wrapdefault\aspalpha\aspnum\faauto\adjustright\rin0\lin0\itap0 \rtlch\fcs1 \af0\afs20\alang1025 \ltrch\fcs0 \fs24\lang2057\langfe2057\cgrid\langnp2057\langfenp2057 {\rtlch\fcs1 \af0 _x000d__x000a_\ltrch\fcs0 \insrsid1338607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4618495 \rtlch\fcs1 _x000d__x000a_\af0\afs20\alang1025 \ltrch\fcs0 \b\fs24\lang2057\langfe2057\cgrid\langnp2057\langfenp2057 {\rtlch\fcs1 \af0 \ltrch\fcs0 \cs17\b0\v\f1\fs20\cf9\insrsid4618495\charrsid7014518 {\*\bkmkstart restart}&lt;Amend&gt;}{\rtlch\fcs1 \af0 \ltrch\fcs0 _x000d__x000a_\insrsid4618495\charrsid7014518 Amendment\tab \tab }{\rtlch\fcs1 \af0 \ltrch\fcs0 \cs17\b0\v\f1\fs20\cf9\insrsid4618495\charrsid7014518 &lt;NumAm&gt;}{\rtlch\fcs1 \af0 \ltrch\fcs0 \insrsid4618495\charrsid7014518 #}{\rtlch\fcs1 \af1 \ltrch\fcs0 _x000d__x000a_\cs18\v\f1\fs20\cf15\insrsid4618495\charrsid7014518 ENMIENDA@NRAM@}{\rtlch\fcs1 \af0 \ltrch\fcs0 \insrsid4618495\charrsid7014518 #}{\rtlch\fcs1 \af0 \ltrch\fcs0 \cs17\b0\v\f1\fs20\cf9\insrsid4618495\charrsid7014518 &lt;/NumAm&gt;}{\rtlch\fcs1 \af0 \ltrch\fcs0 _x000d__x000a_\insrsid4618495\charrsid7014518 _x000d__x000a_\par }\pard\plain \ltrpar\s21\ql \li0\ri0\nowidctlpar\wrapdefault\aspalpha\aspnum\faauto\adjustright\rin0\lin0\itap0\pararsid4618495 \rtlch\fcs1 \af0\afs20\alang1025 \ltrch\fcs0 \b\fs24\lang2057\langfe2057\cgrid\langnp2057\langfenp2057 {\rtlch\fcs1 \af0 _x000d__x000a_\ltrch\fcs0 \cs17\b0\v\f1\fs20\cf9\insrsid4618495\charrsid7014518 &lt;RepeatBlock-By&gt;}{\rtlch\fcs1 \af0 \ltrch\fcs0 \insrsid4618495\charrsid7014518 #}{\rtlch\fcs1 \af1 \ltrch\fcs0 \cs18\v\f1\fs20\cf15\insrsid4618495\charrsid7014518 (MOD@InsideLoop()}{_x000d__x000a_\rtlch\fcs1 \af0 \ltrch\fcs0 \insrsid4618495\charrsid7014518 ##}{\rtlch\fcs1 \af1 \ltrch\fcs0 \cs18\v\f1\fs20\cf15\insrsid4618495\charrsid7014518 &gt;&gt;&gt;@[ZMEMBERSMSG]@}{\rtlch\fcs1 \af0 \ltrch\fcs0 \insrsid4618495\charrsid7014518 #}{\rtlch\fcs1 \af0 _x000d__x000a_\ltrch\fcs0 \cs17\b0\v\f1\fs20\cf9\insrsid4618495\charrsid7014518 &lt;Members&gt;}{\rtlch\fcs1 \af0 \ltrch\fcs0 \insrsid4618495\charrsid7014518 #}{\rtlch\fcs1 \af1 \ltrch\fcs0 \cs18\v\f1\fs20\cf15\insrsid4618495\charrsid7014518 (MOD@InsideLoop(\'a7)}{_x000d__x000a_\rtlch\fcs1 \af0 \ltrch\fcs0 \insrsid4618495\charrsid7014518 #}{\rtlch\fcs1 \af0 \ltrch\fcs0 \cf10\insrsid4618495\charrsid7014518 \u9668\'3f}{\rtlch\fcs1 \af0 \ltrch\fcs0 \insrsid4618495\charrsid7014518 #}{\rtlch\fcs1 \af1 \ltrch\fcs0 _x000d__x000a_\cs18\v\f1\fs20\cf15\insrsid4618495\charrsid7014518 TVTMEMBERS\'a7@MEMBERS@}{\rtlch\fcs1 \af0 \ltrch\fcs0 \insrsid4618495\charrsid7014518 #}{\rtlch\fcs1 \af0 \ltrch\fcs0 \cf10\insrsid4618495\charrsid7014518 \u9658\'3f}{\rtlch\fcs1 \af0 \ltrch\fcs0 _x000d__x000a_\cs17\b0\v\f1\fs20\cf9\insrsid4618495\charrsid7014518 &lt;/Members&gt;}{\rtlch\fcs1 \af0 \ltrch\fcs0 \insrsid4618495\charrsid7014518 _x000d__x000a_\par }\pard\plain \ltrpar\ql \li0\ri0\widctlpar\wrapdefault\aspalpha\aspnum\faauto\adjustright\rin0\lin0\itap0\pararsid4618495 \rtlch\fcs1 \af0\afs20\alang1025 \ltrch\fcs0 \fs24\lang2057\langfe2057\cgrid\langnp2057\langfenp2057 {\rtlch\fcs1 \af0 \ltrch\fcs0 _x000d__x000a_\cs17\v\f1\fs20\cf9\insrsid4618495\charrsid7014518 &lt;AuNomDe&gt;&lt;OptDel&gt;}{\rtlch\fcs1 \af0 \ltrch\fcs0 \insrsid4618495\charrsid7014518 #}{\rtlch\fcs1 \af1 \ltrch\fcs0 \cs18\v\f1\fs20\cf15\insrsid4618495\charrsid7014518 MNU[ONBEHALFYES][NOTAPP]@CHOICE@}{_x000d__x000a_\rtlch\fcs1 \af0 \ltrch\fcs0 \insrsid4618495\charrsid7014518 #}{\rtlch\fcs1 \af0 \ltrch\fcs0 \cs17\v\f1\fs20\cf9\insrsid4618495\charrsid7014518 &lt;/OptDel&gt;&lt;/AuNomDe&gt;}{\rtlch\fcs1 \af0 \ltrch\fcs0 \insrsid4618495\charrsid7014518 _x000d__x000a_\par &lt;&lt;&lt;}{\rtlch\fcs1 \af0 \ltrch\fcs0 \cs17\v\f1\fs20\cf9\insrsid4618495\charrsid7014518 &lt;/RepeatBlock-By&gt;}{\rtlch\fcs1 \af0 \ltrch\fcs0 \insrsid4618495\charrsid7014518 _x000d__x000a_\par }\pard\plain \ltrpar\s21\ql \li0\ri0\nowidctlpar\wrapdefault\aspalpha\aspnum\faauto\adjustright\rin0\lin0\itap0\pararsid4618495 \rtlch\fcs1 \af0\afs20\alang1025 \ltrch\fcs0 \b\fs24\lang2057\langfe2057\cgrid\langnp2057\langfenp2057 {\rtlch\fcs1 \af0 _x000d__x000a_\ltrch\fcs0 \cs17\b0\v\f1\fs20\cf9\insrsid4618495\charrsid7014518 &lt;DocAmend&gt;}{\rtlch\fcs1 \af0 \ltrch\fcs0 \insrsid4618495\charrsid7014518 Draft opinion}{\rtlch\fcs1 \af0 \ltrch\fcs0 \cs17\b0\v\f1\fs20\cf9\insrsid4618495\charrsid7014518 &lt;/DocAmend&gt;}{_x000d__x000a_\rtlch\fcs1 \af0 \ltrch\fcs0 \insrsid4618495\charrsid7014518 _x000d__x000a_\par }{\rtlch\fcs1 \af0 \ltrch\fcs0 \cs17\b0\v\f1\fs20\cf9\insrsid4618495\charrsid7014518 &lt;Article&gt;}{\rtlch\fcs1 \af0 \ltrch\fcs0 \cf10\insrsid4618495\charrsid7014518 \u9668\'3f}{\rtlch\fcs1 \af0 \ltrch\fcs0 \insrsid4618495\charrsid7014518 #}{\rtlch\fcs1 \af1 _x000d__x000a_\ltrch\fcs0 \cs18\v\f1\fs20\cf15\insrsid4618495\charrsid7014518 TVTAMPART@AMPART@}{\rtlch\fcs1 \af0 \ltrch\fcs0 \insrsid4618495\charrsid7014518 #}{\rtlch\fcs1 \af0 \ltrch\fcs0 \cf10\insrsid4618495\charrsid7014518 \u9658\'3f}{\rtlch\fcs1 \af0 \ltrch\fcs0 _x000d__x000a_\cs17\b0\v\f1\fs20\cf9\insrsid4618495\charrsid7014518 &lt;/Article&gt;}{\rtlch\fcs1 \af0 \ltrch\fcs0 \insrsid4618495\charrsid701451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4618495\charrsid7014518 \cell }\pard\plain \ltrpar\ql \li0\ri0\widctlpar\intbl\wrapdefault\aspalpha\aspnum\faauto\adjustright\rin0\lin0 \rtlch\fcs1 _x000d__x000a_\af0\afs20\alang1025 \ltrch\fcs0 \fs24\lang2057\langfe2057\cgrid\langnp2057\langfenp2057 {\rtlch\fcs1 \af0 \ltrch\fcs0 \insrsid4618495\charrsid701451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4618495\charrsid7014518 Draft opinion\cell Amendment\cell }\pard\plain \ltrpar\ql \li0\ri0\widctlpar\intbl\wrapdefault\aspalpha\aspnum\faauto\adjustright\rin0\lin0 \rtlch\fcs1 \af0\afs20\alang1025 \ltrch\fcs0 _x000d__x000a_\fs24\lang2057\langfe2057\cgrid\langnp2057\langfenp2057 {\rtlch\fcs1 \af0 \ltrch\fcs0 \insrsid4618495\charrsid701451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4618495\charrsid7014518 ##\cell ##}{\rtlch\fcs1 \af0\afs24 \ltrch\fcs0 \insrsid4618495\charrsid7014518 \cell }\pard\plain \ltrpar\ql \li0\ri0\widctlpar\intbl\wrapdefault\aspalpha\aspnum\faauto\adjustright\rin0\lin0 \rtlch\fcs1 _x000d__x000a_\af0\afs20\alang1025 \ltrch\fcs0 \fs24\lang2057\langfe2057\cgrid\langnp2057\langfenp2057 {\rtlch\fcs1 \af0 \ltrch\fcs0 \insrsid4618495\charrsid701451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4618495 \rtlch\fcs1 \af0\afs20\alang1025 \ltrch\fcs0 \fs24\lang2057\langfe2057\cgrid\langnp2057\langfenp2057 {\rtlch\fcs1 \af0 \ltrch\fcs0 _x000d__x000a_\insrsid4618495\charrsid7014518 Or. }{\rtlch\fcs1 \af0 \ltrch\fcs0 \cs17\v\f1\fs20\cf9\insrsid4618495\charrsid7014518 &lt;Original&gt;}{\rtlch\fcs1 \af0 \ltrch\fcs0 \insrsid4618495\charrsid7014518 #}{\rtlch\fcs1 \af1 \ltrch\fcs0 _x000d__x000a_\cs18\v\f1\fs20\cf15\insrsid4618495\charrsid7014518 KEY(MAIN/LANGMIN)sh@ORLANGMSG@}{\rtlch\fcs1 \af0 \ltrch\fcs0 \insrsid4618495\charrsid7014518 #}{\rtlch\fcs1 \af0 \ltrch\fcs0 \cs17\v\f1\fs20\cf9\insrsid4618495\charrsid7014518 &lt;/Original&gt;}{\rtlch\fcs1 _x000d__x000a_\af0 \ltrch\fcs0 \insrsid4618495\charrsid7014518 _x000d__x000a_\par }\pard\plain \ltrpar\ql \li0\ri0\widctlpar\wrapdefault\aspalpha\aspnum\faauto\adjustright\rin0\lin0\itap0\pararsid4618495 \rtlch\fcs1 \af0\afs20\alang1025 \ltrch\fcs0 \fs24\lang2057\langfe2057\cgrid\langnp2057\langfenp2057 {\rtlch\fcs1 \af0 \ltrch\fcs0 _x000d__x000a_\cs17\v\f1\fs20\cf9\insrsid4618495\charrsid701451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6_x000d__x000a_9fd3993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06"/>
    <w:docVar w:name="TXTAUTHOR" w:val="Ondřej Kovařík"/>
    <w:docVar w:name="TXTLANGUE" w:val="EN"/>
    <w:docVar w:name="TXTLANGUEMIN" w:val="en"/>
    <w:docVar w:name="TXTNRAM" w:val="1 - 54"/>
    <w:docVar w:name="TXTNRFIRSTAM" w:val="1"/>
    <w:docVar w:name="TXTNRLASTAM" w:val="1"/>
    <w:docVar w:name="TXTNRPE" w:val="652.622"/>
    <w:docVar w:name="TXTNRPE2" w:val="646.912"/>
    <w:docVar w:name="TXTNRPROC" w:val="2020/2013"/>
    <w:docVar w:name="TXTPEorAP" w:val="PE"/>
    <w:docVar w:name="TXTROUTE" w:val="AM\1206728EN.docx"/>
    <w:docVar w:name="TXTTITLE" w:val="Artificial intelligence: questions of interpretation and application of international law in so far as the EU is affected in the areas of civil and military uses and of state authority outside the scope of criminal justice"/>
    <w:docVar w:name="TXTVERSION" w:val="01-00"/>
    <w:docVar w:name="TXTVERSION2" w:val="01-00"/>
  </w:docVars>
  <w:rsids>
    <w:rsidRoot w:val="006B0876"/>
    <w:rsid w:val="00042914"/>
    <w:rsid w:val="000449AB"/>
    <w:rsid w:val="000565EC"/>
    <w:rsid w:val="00060590"/>
    <w:rsid w:val="00073109"/>
    <w:rsid w:val="00073CBC"/>
    <w:rsid w:val="000856B6"/>
    <w:rsid w:val="000B5DC7"/>
    <w:rsid w:val="00140551"/>
    <w:rsid w:val="00142B74"/>
    <w:rsid w:val="00202B0E"/>
    <w:rsid w:val="002069F5"/>
    <w:rsid w:val="00262416"/>
    <w:rsid w:val="00272657"/>
    <w:rsid w:val="002E29E1"/>
    <w:rsid w:val="002F2F21"/>
    <w:rsid w:val="002F3259"/>
    <w:rsid w:val="00370BE8"/>
    <w:rsid w:val="00390616"/>
    <w:rsid w:val="003B23F7"/>
    <w:rsid w:val="003E198E"/>
    <w:rsid w:val="003E38E2"/>
    <w:rsid w:val="004262C2"/>
    <w:rsid w:val="00486498"/>
    <w:rsid w:val="00491E6D"/>
    <w:rsid w:val="004A2427"/>
    <w:rsid w:val="004A32DF"/>
    <w:rsid w:val="004A40CE"/>
    <w:rsid w:val="004C032D"/>
    <w:rsid w:val="004C579A"/>
    <w:rsid w:val="004F44BB"/>
    <w:rsid w:val="004F7EAC"/>
    <w:rsid w:val="00521A86"/>
    <w:rsid w:val="00552603"/>
    <w:rsid w:val="00556B89"/>
    <w:rsid w:val="00557F6E"/>
    <w:rsid w:val="005757CD"/>
    <w:rsid w:val="00587102"/>
    <w:rsid w:val="005D04A2"/>
    <w:rsid w:val="005E6B56"/>
    <w:rsid w:val="005F175C"/>
    <w:rsid w:val="005F3A36"/>
    <w:rsid w:val="005F5B12"/>
    <w:rsid w:val="00680AA9"/>
    <w:rsid w:val="00686824"/>
    <w:rsid w:val="006A3135"/>
    <w:rsid w:val="006B0876"/>
    <w:rsid w:val="006B0EA8"/>
    <w:rsid w:val="006C136E"/>
    <w:rsid w:val="006D5228"/>
    <w:rsid w:val="006D535D"/>
    <w:rsid w:val="006D6CA8"/>
    <w:rsid w:val="00742225"/>
    <w:rsid w:val="007630CD"/>
    <w:rsid w:val="00776553"/>
    <w:rsid w:val="00780374"/>
    <w:rsid w:val="007837D1"/>
    <w:rsid w:val="007A6C3E"/>
    <w:rsid w:val="007C48A3"/>
    <w:rsid w:val="007C4967"/>
    <w:rsid w:val="007D142A"/>
    <w:rsid w:val="007F22E4"/>
    <w:rsid w:val="00821E7F"/>
    <w:rsid w:val="008305E9"/>
    <w:rsid w:val="00847353"/>
    <w:rsid w:val="00860E96"/>
    <w:rsid w:val="008D6E5C"/>
    <w:rsid w:val="008F6B7A"/>
    <w:rsid w:val="009079C1"/>
    <w:rsid w:val="0093376E"/>
    <w:rsid w:val="00952B7C"/>
    <w:rsid w:val="009531F4"/>
    <w:rsid w:val="00992DA2"/>
    <w:rsid w:val="00995DD2"/>
    <w:rsid w:val="009A4B45"/>
    <w:rsid w:val="009B1A30"/>
    <w:rsid w:val="009E0F42"/>
    <w:rsid w:val="009F34EA"/>
    <w:rsid w:val="009F3795"/>
    <w:rsid w:val="00A365F2"/>
    <w:rsid w:val="00A36655"/>
    <w:rsid w:val="00A804CE"/>
    <w:rsid w:val="00A818D8"/>
    <w:rsid w:val="00AB2324"/>
    <w:rsid w:val="00AB4119"/>
    <w:rsid w:val="00AD74E0"/>
    <w:rsid w:val="00B27AC5"/>
    <w:rsid w:val="00B371C6"/>
    <w:rsid w:val="00B52CA8"/>
    <w:rsid w:val="00B77764"/>
    <w:rsid w:val="00BA3694"/>
    <w:rsid w:val="00BA4548"/>
    <w:rsid w:val="00BB015C"/>
    <w:rsid w:val="00BB2984"/>
    <w:rsid w:val="00BC4200"/>
    <w:rsid w:val="00BD7D4A"/>
    <w:rsid w:val="00C04A06"/>
    <w:rsid w:val="00C52038"/>
    <w:rsid w:val="00C85D0F"/>
    <w:rsid w:val="00D03964"/>
    <w:rsid w:val="00D6787A"/>
    <w:rsid w:val="00D86A94"/>
    <w:rsid w:val="00DC01F1"/>
    <w:rsid w:val="00DF065E"/>
    <w:rsid w:val="00E158AC"/>
    <w:rsid w:val="00E2597D"/>
    <w:rsid w:val="00E4751A"/>
    <w:rsid w:val="00E56F4F"/>
    <w:rsid w:val="00E90250"/>
    <w:rsid w:val="00EB0900"/>
    <w:rsid w:val="00EF54D2"/>
    <w:rsid w:val="00EF70AC"/>
    <w:rsid w:val="00F25EB9"/>
    <w:rsid w:val="00F30AA4"/>
    <w:rsid w:val="00F3338B"/>
    <w:rsid w:val="00FA7F9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6CFFC-21F4-4F3E-AF3B-2E1371AF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paragraph" w:customStyle="1" w:styleId="NormalBold">
    <w:name w:val="NormalBold"/>
    <w:basedOn w:val="Normal"/>
    <w:link w:val="NormalBoldChar"/>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9B1A30"/>
    <w:rPr>
      <w:sz w:val="24"/>
    </w:rPr>
  </w:style>
  <w:style w:type="paragraph" w:customStyle="1" w:styleId="msonormal0">
    <w:name w:val="msonormal"/>
    <w:basedOn w:val="Normal"/>
    <w:rsid w:val="00C04A06"/>
    <w:pPr>
      <w:widowControl/>
      <w:spacing w:before="100" w:beforeAutospacing="1" w:after="100" w:afterAutospacing="1"/>
    </w:pPr>
    <w:rPr>
      <w:szCs w:val="24"/>
    </w:rPr>
  </w:style>
  <w:style w:type="paragraph" w:styleId="Footer">
    <w:name w:val="footer"/>
    <w:link w:val="FooterChar"/>
    <w:semiHidden/>
    <w:unhideWhenUsed/>
    <w:rsid w:val="00C04A06"/>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C04A06"/>
    <w:rPr>
      <w:sz w:val="22"/>
    </w:rPr>
  </w:style>
  <w:style w:type="character" w:customStyle="1" w:styleId="Normal12Char">
    <w:name w:val="Normal12 Char"/>
    <w:basedOn w:val="DefaultParagraphFont"/>
    <w:link w:val="Normal12"/>
    <w:locked/>
    <w:rsid w:val="00C04A06"/>
    <w:rPr>
      <w:noProof/>
      <w:sz w:val="24"/>
    </w:rPr>
  </w:style>
  <w:style w:type="paragraph" w:customStyle="1" w:styleId="Normal12">
    <w:name w:val="Normal12"/>
    <w:basedOn w:val="Normal"/>
    <w:link w:val="Normal12Char"/>
    <w:rsid w:val="00C04A06"/>
    <w:pPr>
      <w:spacing w:after="240"/>
    </w:pPr>
    <w:rPr>
      <w:noProof/>
    </w:rPr>
  </w:style>
  <w:style w:type="paragraph" w:customStyle="1" w:styleId="CommitteeAM">
    <w:name w:val="CommitteeAM"/>
    <w:basedOn w:val="Normal"/>
    <w:rsid w:val="00C04A06"/>
    <w:pPr>
      <w:spacing w:before="240" w:after="600"/>
      <w:jc w:val="center"/>
    </w:pPr>
    <w:rPr>
      <w:i/>
    </w:rPr>
  </w:style>
  <w:style w:type="paragraph" w:customStyle="1" w:styleId="ZDateAM">
    <w:name w:val="ZDateAM"/>
    <w:basedOn w:val="Normal"/>
    <w:rsid w:val="00C04A06"/>
    <w:pPr>
      <w:tabs>
        <w:tab w:val="right" w:pos="9356"/>
      </w:tabs>
      <w:spacing w:after="480"/>
    </w:pPr>
    <w:rPr>
      <w:noProof/>
    </w:rPr>
  </w:style>
  <w:style w:type="paragraph" w:customStyle="1" w:styleId="ProjRap">
    <w:name w:val="ProjRap"/>
    <w:basedOn w:val="Normal"/>
    <w:rsid w:val="00C04A06"/>
    <w:pPr>
      <w:tabs>
        <w:tab w:val="right" w:pos="9356"/>
      </w:tabs>
    </w:pPr>
    <w:rPr>
      <w:b/>
      <w:noProof/>
    </w:rPr>
  </w:style>
  <w:style w:type="paragraph" w:customStyle="1" w:styleId="PELeft">
    <w:name w:val="PELeft"/>
    <w:basedOn w:val="Normal"/>
    <w:rsid w:val="00C04A06"/>
    <w:pPr>
      <w:spacing w:before="40" w:after="40"/>
    </w:pPr>
    <w:rPr>
      <w:rFonts w:ascii="Arial" w:hAnsi="Arial" w:cs="Arial"/>
      <w:sz w:val="22"/>
      <w:szCs w:val="22"/>
    </w:rPr>
  </w:style>
  <w:style w:type="paragraph" w:customStyle="1" w:styleId="PERight">
    <w:name w:val="PERight"/>
    <w:basedOn w:val="Normal"/>
    <w:next w:val="Normal"/>
    <w:rsid w:val="00C04A06"/>
    <w:pPr>
      <w:jc w:val="right"/>
    </w:pPr>
    <w:rPr>
      <w:rFonts w:ascii="Arial" w:hAnsi="Arial" w:cs="Arial"/>
      <w:sz w:val="22"/>
      <w:szCs w:val="22"/>
    </w:rPr>
  </w:style>
  <w:style w:type="character" w:customStyle="1" w:styleId="Normal6Char">
    <w:name w:val="Normal6 Char"/>
    <w:basedOn w:val="DefaultParagraphFont"/>
    <w:link w:val="Normal6"/>
    <w:locked/>
    <w:rsid w:val="00C04A06"/>
    <w:rPr>
      <w:sz w:val="24"/>
      <w:lang w:val="hu-HU"/>
    </w:rPr>
  </w:style>
  <w:style w:type="paragraph" w:customStyle="1" w:styleId="Normal6">
    <w:name w:val="Normal6"/>
    <w:basedOn w:val="Normal"/>
    <w:link w:val="Normal6Char"/>
    <w:rsid w:val="00C04A06"/>
    <w:pPr>
      <w:spacing w:after="120"/>
    </w:pPr>
  </w:style>
  <w:style w:type="character" w:customStyle="1" w:styleId="NormalBoldChar">
    <w:name w:val="NormalBold Char"/>
    <w:basedOn w:val="DefaultParagraphFont"/>
    <w:link w:val="NormalBold"/>
    <w:locked/>
    <w:rsid w:val="00C04A06"/>
    <w:rPr>
      <w:b/>
      <w:sz w:val="24"/>
    </w:rPr>
  </w:style>
  <w:style w:type="paragraph" w:customStyle="1" w:styleId="Normal12Italic">
    <w:name w:val="Normal12Italic"/>
    <w:basedOn w:val="Normal12"/>
    <w:rsid w:val="00C04A06"/>
    <w:rPr>
      <w:i/>
    </w:rPr>
  </w:style>
  <w:style w:type="paragraph" w:customStyle="1" w:styleId="JustificationTitle">
    <w:name w:val="JustificationTitle"/>
    <w:basedOn w:val="Normal"/>
    <w:next w:val="Normal12"/>
    <w:rsid w:val="00C04A06"/>
    <w:pPr>
      <w:keepNext/>
      <w:spacing w:before="240" w:after="240"/>
      <w:jc w:val="center"/>
    </w:pPr>
    <w:rPr>
      <w:i/>
      <w:noProof/>
    </w:rPr>
  </w:style>
  <w:style w:type="paragraph" w:customStyle="1" w:styleId="Olang">
    <w:name w:val="Olang"/>
    <w:basedOn w:val="Normal"/>
    <w:rsid w:val="00C04A06"/>
    <w:pPr>
      <w:spacing w:before="240" w:after="240"/>
      <w:jc w:val="right"/>
    </w:pPr>
    <w:rPr>
      <w:noProof/>
      <w:szCs w:val="24"/>
    </w:rPr>
  </w:style>
  <w:style w:type="paragraph" w:customStyle="1" w:styleId="ColumnHeading">
    <w:name w:val="ColumnHeading"/>
    <w:basedOn w:val="Normal"/>
    <w:rsid w:val="00C04A06"/>
    <w:pPr>
      <w:spacing w:after="240"/>
      <w:jc w:val="center"/>
    </w:pPr>
    <w:rPr>
      <w:i/>
    </w:rPr>
  </w:style>
  <w:style w:type="paragraph" w:customStyle="1" w:styleId="AMNumberTabs0">
    <w:name w:val="AMNumberTabs"/>
    <w:basedOn w:val="Normal"/>
    <w:rsid w:val="00C04A0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04A06"/>
    <w:pPr>
      <w:spacing w:before="240"/>
    </w:pPr>
    <w:rPr>
      <w:b/>
    </w:rPr>
  </w:style>
  <w:style w:type="paragraph" w:customStyle="1" w:styleId="CrossRef">
    <w:name w:val="CrossRef"/>
    <w:basedOn w:val="Normal"/>
    <w:rsid w:val="00C04A06"/>
    <w:pPr>
      <w:spacing w:before="240"/>
      <w:jc w:val="center"/>
    </w:pPr>
    <w:rPr>
      <w:i/>
    </w:rPr>
  </w:style>
  <w:style w:type="paragraph" w:customStyle="1" w:styleId="Footer2">
    <w:name w:val="Footer2"/>
    <w:basedOn w:val="Normal12"/>
    <w:rsid w:val="00C04A06"/>
    <w:pPr>
      <w:tabs>
        <w:tab w:val="center" w:pos="4535"/>
        <w:tab w:val="right" w:pos="9923"/>
      </w:tabs>
      <w:spacing w:line="480" w:lineRule="auto"/>
      <w:ind w:left="-851"/>
    </w:pPr>
    <w:rPr>
      <w:rFonts w:ascii="Arial" w:cs="Arial"/>
      <w:b/>
      <w:sz w:val="48"/>
    </w:rPr>
  </w:style>
  <w:style w:type="character" w:customStyle="1" w:styleId="Footer2Middle">
    <w:name w:val="Footer2Middle"/>
    <w:rsid w:val="00C04A06"/>
    <w:rPr>
      <w:rFonts w:ascii="Arial" w:hAnsi="Arial" w:cs="Arial" w:hint="default"/>
      <w:b w:val="0"/>
      <w:bCs w:val="0"/>
      <w:i/>
      <w:iCs w:val="0"/>
      <w:color w:val="C0C0C0"/>
      <w:sz w:val="22"/>
    </w:rPr>
  </w:style>
  <w:style w:type="paragraph" w:customStyle="1" w:styleId="EntPE">
    <w:name w:val="EntPE"/>
    <w:basedOn w:val="Normal12"/>
    <w:rsid w:val="00C04A06"/>
    <w:pPr>
      <w:jc w:val="center"/>
    </w:pPr>
    <w:rPr>
      <w:noProof w:val="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l\AppData\Local\Temp\AM_Com_NonLegOpi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AM_Com_NonLegOpinion.dotx</Template>
  <TotalTime>0</TotalTime>
  <Pages>35</Pages>
  <Words>6454</Words>
  <Characters>56075</Characters>
  <Application>Microsoft Office Word</Application>
  <DocSecurity>0</DocSecurity>
  <Lines>2243</Lines>
  <Paragraphs>638</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61891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SOLL Susan Benzon</dc:creator>
  <cp:lastModifiedBy>SEBOK Attila</cp:lastModifiedBy>
  <cp:revision>2</cp:revision>
  <cp:lastPrinted>2003-08-28T15:32:00Z</cp:lastPrinted>
  <dcterms:created xsi:type="dcterms:W3CDTF">2020-06-26T10:04:00Z</dcterms:created>
  <dcterms:modified xsi:type="dcterms:W3CDTF">2020-06-26T10:04:00Z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1206728</vt:lpwstr>
  </property>
  <property fmtid="{D5CDD505-2E9C-101B-9397-08002B2CF9AE}" pid="4" name="&lt;Model&gt;">
    <vt:lpwstr>AM_Com_NonLegOpinion</vt:lpwstr>
  </property>
  <property fmtid="{D5CDD505-2E9C-101B-9397-08002B2CF9AE}" pid="5" name="&lt;ModelCod&gt;">
    <vt:lpwstr>\\eiciLUXpr1\pdocep$\DocEP\DOCS\General\AM\AM_NonLeg\AM_Com_NonLeg\AM_Com_NonLegOpinion.dotx(17/04/2020 19:26:11)</vt:lpwstr>
  </property>
  <property fmtid="{D5CDD505-2E9C-101B-9397-08002B2CF9AE}" pid="6" name="&lt;ModelTra&gt;">
    <vt:lpwstr>\\eiciLUXpr1\pdocep$\DocEP\TRANSFIL\EN\AM_Com_NonLegOpinion.EN(21/02/2019 12:44:04)</vt:lpwstr>
  </property>
  <property fmtid="{D5CDD505-2E9C-101B-9397-08002B2CF9AE}" pid="7" name="&lt;Type&gt;">
    <vt:lpwstr>AM</vt:lpwstr>
  </property>
  <property fmtid="{D5CDD505-2E9C-101B-9397-08002B2CF9AE}" pid="8" name="Bookout">
    <vt:lpwstr>OK - 2020/06/26 12:04</vt:lpwstr>
  </property>
  <property fmtid="{D5CDD505-2E9C-101B-9397-08002B2CF9AE}" pid="9" name="Created with">
    <vt:lpwstr>9.9.0 Build [20200302]</vt:lpwstr>
  </property>
  <property fmtid="{D5CDD505-2E9C-101B-9397-08002B2CF9AE}" pid="10" name="FooterPath">
    <vt:lpwstr>AM\1206728HU.docx</vt:lpwstr>
  </property>
  <property fmtid="{D5CDD505-2E9C-101B-9397-08002B2CF9AE}" pid="11" name="LastEdited with">
    <vt:lpwstr>9.8.0 Build [20191010]</vt:lpwstr>
  </property>
  <property fmtid="{D5CDD505-2E9C-101B-9397-08002B2CF9AE}" pid="12" name="PE number">
    <vt:lpwstr>652.622</vt:lpwstr>
  </property>
  <property fmtid="{D5CDD505-2E9C-101B-9397-08002B2CF9AE}" pid="13" name="SDLStudio">
    <vt:lpwstr/>
  </property>
  <property fmtid="{D5CDD505-2E9C-101B-9397-08002B2CF9AE}" pid="14" name="SendToEpades">
    <vt:lpwstr>OK - 2020/06/05 09:16</vt:lpwstr>
  </property>
  <property fmtid="{D5CDD505-2E9C-101B-9397-08002B2CF9AE}" pid="15" name="SubscribeElise">
    <vt:lpwstr/>
  </property>
</Properties>
</file>