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300"/>
          <w:jc w:val="center"/>
        </w:trPr>
        <w:tc>
          <w:tcPr>
            <w:tcW w:w="6804" w:type="dxa"/>
            <w:vAlign w:val="center"/>
          </w:tcPr>
          <w:p>
            <w:pPr>
              <w:pStyle w:val="EPName"/>
            </w:pPr>
            <w:r w:rsidR="00A77B3E">
              <w:t>Europski parlament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538818" name=""/>
                          <pic:cNvPicPr>
                            <a:picLocks noChangeAspect="1"/>
                          </pic:cNvPicPr>
                        </pic:nvPicPr>
                        <pic:blipFill>
                          <a:blip xmlns:r="http://schemas.openxmlformats.org/officeDocument/2006/relationships" r:embed="rId5"/>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w:t>
      </w:r>
      <w:r>
        <w:rPr>
          <w:rStyle w:val="HideTWBInt"/>
        </w:rPr>
        <w:t>TRAN</w:t>
      </w:r>
      <w:r>
        <w:rPr>
          <w:rStyle w:val="HideTWBInt"/>
        </w:rPr>
        <w:t>}</w:t>
      </w:r>
      <w:r>
        <w:t>Odbor za promet i turizam</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2019/2186(INI)</w:t>
      </w:r>
      <w:r>
        <w:rPr>
          <w:rStyle w:val="HideTWBExt"/>
        </w:rPr>
        <w:t>&lt;/</w:t>
      </w:r>
      <w:r>
        <w:rPr>
          <w:rStyle w:val="HideTWBExt"/>
        </w:rPr>
        <w:t>RefProc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06/01/2021</w:t>
      </w:r>
      <w:r>
        <w:rPr>
          <w:rStyle w:val="HideTWBInt"/>
        </w:rPr>
        <w:t>}</w:t>
      </w:r>
      <w:r>
        <w:t>6.1.2021</w:t>
      </w:r>
      <w:r>
        <w:rPr>
          <w:rStyle w:val="HideTWBExt"/>
        </w:rPr>
        <w:t>&lt;/</w:t>
      </w:r>
      <w:r>
        <w:rPr>
          <w:rStyle w:val="HideTWBExt"/>
        </w:rPr>
        <w:t>Date</w:t>
      </w:r>
      <w:r>
        <w:rPr>
          <w:rStyle w:val="HideTWBExt"/>
        </w:rPr>
        <w:t>&gt;</w:t>
      </w:r>
    </w:p>
    <w:p>
      <w:pPr>
        <w:pStyle w:val="CoverDocType24a"/>
      </w:pPr>
      <w:r>
        <w:rPr>
          <w:rStyle w:val="HideTWBExt"/>
        </w:rPr>
        <w:t>&lt;</w:t>
      </w:r>
      <w:r>
        <w:rPr>
          <w:rStyle w:val="HideTWBExt"/>
        </w:rPr>
        <w:t>TitreType</w:t>
      </w:r>
      <w:r>
        <w:rPr>
          <w:rStyle w:val="HideTWBExt"/>
        </w:rPr>
        <w:t>&gt;</w:t>
      </w:r>
      <w:r>
        <w:t>NACRT MIŠLJENJA</w:t>
      </w:r>
      <w:r>
        <w:rPr>
          <w:rStyle w:val="HideTWBExt"/>
        </w:rPr>
        <w:t>&lt;/</w:t>
      </w:r>
      <w:r>
        <w:rPr>
          <w:rStyle w:val="HideTWBExt"/>
        </w:rPr>
        <w:t>TitreType</w:t>
      </w:r>
      <w:r>
        <w:rPr>
          <w:rStyle w:val="HideTWBExt"/>
        </w:rPr>
        <w:t>&gt;</w:t>
      </w:r>
    </w:p>
    <w:p>
      <w:pPr>
        <w:pStyle w:val="Cover24"/>
      </w:pPr>
      <w:r>
        <w:rPr>
          <w:rStyle w:val="HideTWBExt"/>
        </w:rPr>
        <w:t>&lt;</w:t>
      </w:r>
      <w:r>
        <w:rPr>
          <w:rStyle w:val="HideTWBExt"/>
        </w:rPr>
        <w:t>CommissionResp</w:t>
      </w:r>
      <w:r>
        <w:rPr>
          <w:rStyle w:val="HideTWBExt"/>
        </w:rPr>
        <w:t>&gt;</w:t>
      </w:r>
      <w:r>
        <w:t>Odbora za promet i turizam</w:t>
      </w:r>
      <w:r>
        <w:rPr>
          <w:rStyle w:val="HideTWBExt"/>
        </w:rPr>
        <w:t>&lt;/</w:t>
      </w:r>
      <w:r>
        <w:rPr>
          <w:rStyle w:val="HideTWBExt"/>
        </w:rPr>
        <w:t>CommissionResp</w:t>
      </w:r>
      <w:r>
        <w:rPr>
          <w:rStyle w:val="HideTWBExt"/>
        </w:rPr>
        <w:t>&gt;</w:t>
      </w:r>
    </w:p>
    <w:p>
      <w:pPr>
        <w:pStyle w:val="Cover24"/>
      </w:pPr>
      <w:r>
        <w:rPr>
          <w:rStyle w:val="HideTWBExt"/>
        </w:rPr>
        <w:t>&lt;</w:t>
      </w:r>
      <w:r>
        <w:rPr>
          <w:rStyle w:val="HideTWBExt"/>
        </w:rPr>
        <w:t>CommissionInt</w:t>
      </w:r>
      <w:r>
        <w:rPr>
          <w:rStyle w:val="HideTWBExt"/>
        </w:rPr>
        <w:t>&gt;</w:t>
      </w:r>
      <w:r>
        <w:t>upućen Odboru za zapošljavanje i socijalna pitanja</w:t>
      </w:r>
      <w:r>
        <w:rPr>
          <w:rStyle w:val="HideTWBExt"/>
        </w:rPr>
        <w:t>&lt;/</w:t>
      </w:r>
      <w:r>
        <w:rPr>
          <w:rStyle w:val="HideTWBExt"/>
        </w:rPr>
        <w:t>CommissionInt</w:t>
      </w:r>
      <w:r>
        <w:rPr>
          <w:rStyle w:val="HideTWBExt"/>
        </w:rPr>
        <w:t>&gt;</w:t>
      </w:r>
    </w:p>
    <w:p>
      <w:pPr>
        <w:pStyle w:val="CoverNormal"/>
      </w:pPr>
      <w:r>
        <w:rPr>
          <w:rStyle w:val="HideTWBExt"/>
        </w:rPr>
        <w:t>&lt;</w:t>
      </w:r>
      <w:r>
        <w:rPr>
          <w:rStyle w:val="HideTWBExt"/>
        </w:rPr>
        <w:t>Titre</w:t>
      </w:r>
      <w:r>
        <w:rPr>
          <w:rStyle w:val="HideTWBExt"/>
        </w:rPr>
        <w:t>&gt;</w:t>
      </w:r>
      <w:r>
        <w:t>o pravednim radnim uvjetima, pravima i socijalnoj zaštiti radnika koji rade preko platformi – novi oblici zapošljavanja povezani s digitalnim razvojem</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(2019/2186(INI))</w:t>
      </w:r>
      <w:r>
        <w:rPr>
          <w:rStyle w:val="HideTWBExt"/>
        </w:rPr>
        <w:t>&lt;/</w:t>
      </w:r>
      <w:r>
        <w:rPr>
          <w:rStyle w:val="HideTWBExt"/>
        </w:rPr>
        <w:t>DocRef</w:t>
      </w:r>
      <w:r>
        <w:rPr>
          <w:rStyle w:val="HideTWBExt"/>
        </w:rPr>
        <w:t>&gt;</w:t>
      </w:r>
    </w:p>
    <w:p>
      <w:pPr>
        <w:pStyle w:val="Cover24"/>
      </w:pPr>
      <w:r>
        <w:t>Izvjestiteljica za mišljenje</w:t>
      </w:r>
      <w:r>
        <w:t xml:space="preserve">: </w:t>
      </w:r>
      <w:r>
        <w:rPr>
          <w:rStyle w:val="HideTWBExt"/>
        </w:rPr>
        <w:t>&lt;</w:t>
      </w:r>
      <w:r>
        <w:rPr>
          <w:rStyle w:val="HideTWBExt"/>
        </w:rPr>
        <w:t>Depute</w:t>
      </w:r>
      <w:r>
        <w:rPr>
          <w:rStyle w:val="HideTWBExt"/>
        </w:rPr>
        <w:t>&gt;</w:t>
      </w:r>
      <w:r>
        <w:t>Marianne Vind</w:t>
      </w:r>
      <w:r>
        <w:rPr>
          <w:rStyle w:val="HideTWBExt"/>
        </w:rPr>
        <w:t>&lt;/</w:t>
      </w:r>
      <w:r>
        <w:rPr>
          <w:rStyle w:val="HideTWBExt"/>
        </w:rPr>
        <w:t>Depute</w:t>
      </w:r>
      <w:r>
        <w:rPr>
          <w:rStyle w:val="HideTWBExt"/>
        </w:rPr>
        <w:t>&gt;</w:t>
      </w:r>
    </w:p>
    <w:p>
      <w:r>
        <w:br w:type="page"/>
      </w:r>
    </w:p>
    <w:p>
      <w:pPr>
        <w:pStyle w:val="Normal12a"/>
      </w:pPr>
      <w:r>
        <w:t>PA_NonLeg</w:t>
      </w:r>
    </w:p>
    <w:p>
      <w:pPr>
        <w:sectPr>
          <w:footerReference w:type="even" r:id="rId6"/>
          <w:footerReference w:type="default" r:id="rId7"/>
          <w:footerReference w:type="first" r:id="rId8"/>
          <w:footnotePr>
            <w:numRestart w:val="eachSect"/>
          </w:footnotePr>
          <w:pgSz w:w="11906" w:h="16838"/>
          <w:pgMar w:top="1134" w:right="1417" w:bottom="1417" w:left="1417" w:header="567" w:footer="567" w:gutter="0"/>
          <w:cols w:num="1" w:space="708"/>
          <w:titlePg/>
          <w:docGrid w:linePitch="360"/>
        </w:sectPr>
      </w:pPr>
      <w:r>
        <w:br w:type="page"/>
      </w:r>
    </w:p>
    <w:p>
      <w:pPr>
        <w:pStyle w:val="PageHeadingNotTOC"/>
      </w:pPr>
      <w:r>
        <w:t>PRIJEDLOZI</w:t>
      </w:r>
    </w:p>
    <w:p>
      <w:pPr>
        <w:pStyle w:val="Normal12a"/>
      </w:pPr>
      <w:r>
        <w:t>Odbor za promet i turizam</w:t>
      </w:r>
      <w:r>
        <w:t xml:space="preserve"> </w:t>
      </w:r>
      <w:r>
        <w:t>poziva Odbor za zapošljavanje i socijalna pitanja da kao nadležni odbor</w:t>
      </w:r>
      <w:r>
        <w:t xml:space="preserve"> </w:t>
      </w:r>
      <w:r>
        <w:t>u prijedlog rezolucije koji će usvojiti uvrsti sljedeće prijedloge:</w:t>
      </w:r>
    </w:p>
    <w:p>
      <w:pPr>
        <w:pStyle w:val="NormalHanging12a"/>
      </w:pPr>
      <w:r>
        <w:t>A.</w:t>
      </w:r>
      <w:r>
        <w:tab/>
      </w:r>
      <w:r>
        <w:t>budući da je ekonomija platformi postala sastavni i brzo rastući dio europskog prometnog sektora;</w:t>
      </w:r>
    </w:p>
    <w:p>
      <w:pPr>
        <w:pStyle w:val="NormalHanging12a"/>
      </w:pPr>
      <w:r>
        <w:t>B.</w:t>
      </w:r>
      <w:r>
        <w:tab/>
      </w:r>
      <w:r>
        <w:t>budući da dolazi do povećanja nesigurnog samozapošljavanja u sektoru platformi, osobito za niskokvalificirane poslove koje uvjetuje sama platforma i koji se obavljaju na lokaciji</w:t>
      </w:r>
      <w:r>
        <w:rPr>
          <w:rStyle w:val="FootnoteReference"/>
        </w:rPr>
        <w:footnoteReference w:id="0"/>
      </w:r>
      <w:r>
        <w:t>, među kojima su vožnja i isporuka;</w:t>
      </w:r>
    </w:p>
    <w:p>
      <w:pPr>
        <w:pStyle w:val="Normal12Hanging0"/>
      </w:pPr>
      <w:r>
        <w:t>1.</w:t>
      </w:r>
      <w:r>
        <w:tab/>
      </w:r>
      <w:r>
        <w:t>ističe da je neprihvatljiva nepravedna tržišna prednost koju ekonomije platformi imaju u odnosu na tradicionalnu ekonomiju i koja se temelji na socijalnom dampingu te izbjegavanju plaćanja i utaji poreza;</w:t>
      </w:r>
    </w:p>
    <w:p>
      <w:pPr>
        <w:pStyle w:val="Normal12Hanging0"/>
      </w:pPr>
      <w:r>
        <w:t>2.</w:t>
      </w:r>
      <w:r>
        <w:tab/>
      </w:r>
      <w:r>
        <w:t>poziva Komisiju da izradi strategiju za usklađivanje radnih uvjeta radnika koji rade preko platformi s radnim uvjetima redovnih zaposlenika, pri čemu treba u potpunosti poštovati raznolikost nacionalnih modela tržišta rada i autonomiju socijalnih partnera;</w:t>
      </w:r>
    </w:p>
    <w:p>
      <w:pPr>
        <w:pStyle w:val="Normal12Hanging0"/>
      </w:pPr>
      <w:r>
        <w:t>3.</w:t>
      </w:r>
      <w:r>
        <w:tab/>
      </w:r>
      <w:r>
        <w:t>poziva države članice da razmotre je li potrebno definirati samozaposlene radnike na nacionalnoj razini, uz oborivu pravnu pretpostavku kojom se na platforme prebacuje teret dokazivanja da njihovi radnici zapravo nisu njihovi zaposlenici;</w:t>
      </w:r>
    </w:p>
    <w:p>
      <w:pPr>
        <w:pStyle w:val="Normal12Hanging0"/>
      </w:pPr>
      <w:r>
        <w:t>4.</w:t>
      </w:r>
      <w:r>
        <w:tab/>
      </w:r>
      <w:r>
        <w:t>poziva Komisiju da podupre države članice u pronalasku političkih rješenja za utvrđivanje radnog statusa radnika u sektoru platformi; i dalje izražava skepsu prema dodavanju treće kategorije;</w:t>
      </w:r>
    </w:p>
    <w:p>
      <w:pPr>
        <w:pStyle w:val="Normal12Hanging0"/>
      </w:pPr>
      <w:r>
        <w:t>5.</w:t>
      </w:r>
      <w:r>
        <w:tab/>
      </w:r>
      <w:r>
        <w:t>naglašava potrebu za transparentnošću i nediskriminacijom u platformama za prijevoz i turizam, posebno kad je riječ o algoritmima koji utječu na uslugu, raspodjelu zadaća, određivanje cijena i oglašavanje;</w:t>
      </w:r>
    </w:p>
    <w:p>
      <w:pPr>
        <w:pStyle w:val="Normal12Hanging0"/>
      </w:pPr>
      <w:r>
        <w:t>6.</w:t>
      </w:r>
      <w:r>
        <w:tab/>
      </w:r>
      <w:r>
        <w:t>naglašava koliko je radnicima važna prenosivost podataka među platformama;</w:t>
      </w:r>
    </w:p>
    <w:p>
      <w:pPr>
        <w:pStyle w:val="Normal12Hanging0"/>
      </w:pPr>
      <w:r>
        <w:t>7.</w:t>
      </w:r>
      <w:r>
        <w:tab/>
      </w:r>
      <w:r>
        <w:t>pozdravlja namjeru Komisije da izmijeni pravila EU-a o tržišnom natjecanju kako bi se radnicima platformi i prividno samozaposlenim osobama osigurala mogućnost kolektivnog pregovaranja;</w:t>
      </w:r>
    </w:p>
    <w:p>
      <w:pPr>
        <w:pStyle w:val="Normal12Hanging0"/>
      </w:pPr>
      <w:r>
        <w:t>8.</w:t>
      </w:r>
      <w:r>
        <w:tab/>
      </w:r>
      <w:r>
        <w:t>potiče platforme da razviju metode stručnog osposobljavanja kako bi proširile profesionalne mogućnosti svojih radnika.</w:t>
      </w:r>
    </w:p>
    <w:p>
      <w:pPr>
        <w:pStyle w:val="Normal12a"/>
      </w:pPr>
    </w:p>
    <w:sectPr>
      <w:footnotePr>
        <w:numRestart w:val="eachSect"/>
      </w:footnotePr>
      <w:type w:val="continuous"/>
      <w:pgSz w:w="11906" w:h="16838"/>
      <w:pgMar w:top="1134" w:right="1417" w:bottom="1417" w:left="1417" w:header="567"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663.114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2</w:t>
    </w:r>
    <w:r>
      <w:fldChar w:fldCharType="end"/>
    </w:r>
    <w:r>
      <w:t>/</w:t>
    </w:r>
    <w:r>
      <w:fldChar w:fldCharType="begin"/>
    </w:r>
    <w:r>
      <w:instrText>NUMPAGES</w:instrText>
    </w:r>
    <w:r>
      <w:fldChar w:fldCharType="separate"/>
    </w:r>
    <w:r>
      <w:t>3</w:t>
    </w:r>
    <w:r>
      <w:fldChar w:fldCharType="end"/>
    </w:r>
    <w:r>
      <w:tab/>
    </w:r>
    <w:r>
      <w:rPr>
        <w:rStyle w:val="HideTWBExt"/>
      </w:rPr>
      <w:t>&lt;</w:t>
    </w:r>
    <w:r>
      <w:rPr>
        <w:rStyle w:val="HideTWBExt"/>
      </w:rPr>
      <w:t>PathFdR</w:t>
    </w:r>
    <w:r>
      <w:rPr>
        <w:rStyle w:val="HideTWBExt"/>
      </w:rPr>
      <w:t>&gt;</w:t>
    </w:r>
    <w:r>
      <w:t>PA\1221668HR.docx</w:t>
    </w:r>
    <w:r>
      <w:rPr>
        <w:rStyle w:val="HideTWBExt"/>
      </w:rPr>
      <w:t>&lt;/</w:t>
    </w:r>
    <w:r>
      <w:rPr>
        <w:rStyle w:val="HideTWBExt"/>
      </w:rPr>
      <w:t>PathFdR</w:t>
    </w:r>
    <w:r>
      <w:rPr>
        <w:rStyle w:val="HideTWBExt"/>
      </w:rPr>
      <w:t>&gt;</w:t>
    </w:r>
  </w:p>
  <w:p>
    <w:pPr>
      <w:pStyle w:val="Footer2"/>
    </w:pPr>
    <w:r>
      <w:rPr>
        <w:rStyle w:val="Footer2Lang"/>
      </w:rPr>
      <w:t>HR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PA\1221668HR.docx</w:t>
    </w:r>
    <w:r>
      <w:rPr>
        <w:rStyle w:val="HideTWBExt"/>
      </w:rPr>
      <w:t>&lt;/</w:t>
    </w:r>
    <w:r>
      <w:rPr>
        <w:rStyle w:val="HideTWBExt"/>
      </w:rPr>
      <w:t>PathFdR</w:t>
    </w:r>
    <w:r>
      <w:rPr>
        <w:rStyle w:val="HideTWBExt"/>
      </w:rPr>
      <w:t>&gt;</w:t>
    </w:r>
    <w:r>
      <w:tab/>
    </w:r>
    <w:r>
      <w:fldChar w:fldCharType="begin"/>
    </w:r>
    <w:r>
      <w:instrText>PAGE</w:instrText>
    </w:r>
    <w:r>
      <w:fldChar w:fldCharType="separate"/>
    </w:r>
    <w:r>
      <w:t>3</w:t>
    </w:r>
    <w:r>
      <w:fldChar w:fldCharType="end"/>
    </w:r>
    <w:r>
      <w:t>/</w:t>
    </w:r>
    <w:r>
      <w:fldChar w:fldCharType="begin"/>
    </w:r>
    <w:r>
      <w:instrText>NUMPAGES</w:instrText>
    </w:r>
    <w:r>
      <w:fldChar w:fldCharType="separate"/>
    </w:r>
    <w:r>
      <w:t>3</w:t>
    </w:r>
    <w:r>
      <w:fldChar w:fldCharType="end"/>
    </w:r>
    <w:r>
      <w:tab/>
    </w:r>
    <w:r>
      <w:t>PE</w:t>
    </w:r>
    <w:r>
      <w:rPr>
        <w:rStyle w:val="HideTWBExt"/>
      </w:rPr>
      <w:t>&lt;</w:t>
    </w:r>
    <w:r>
      <w:rPr>
        <w:rStyle w:val="HideTWBExt"/>
      </w:rPr>
      <w:t>NoPE</w:t>
    </w:r>
    <w:r>
      <w:rPr>
        <w:rStyle w:val="HideTWBExt"/>
      </w:rPr>
      <w:t>&gt;</w:t>
    </w:r>
    <w:r>
      <w:t>663.114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rPr>
        <w:rStyle w:val="Footer2Lang"/>
      </w:rPr>
      <w:t>HR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PA\1221668HR.docx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663.114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rPr>
        <w:rStyle w:val="Footer2Lang"/>
      </w:rPr>
      <w:t>HR</w:t>
    </w:r>
    <w:r>
      <w:tab/>
    </w:r>
    <w:r>
      <w:rPr>
        <w:rStyle w:val="Footer2Middle"/>
      </w:rPr>
      <w:t>Ujedinjena u raznolikosti</w:t>
    </w:r>
    <w:r>
      <w:tab/>
    </w:r>
    <w:r>
      <w:rPr>
        <w:rStyle w:val="Footer2Lang"/>
      </w:rPr>
      <w:t>HR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rPr>
          <w:i/>
        </w:rPr>
      </w:pPr>
      <w:r>
        <w:rPr>
          <w:rStyle w:val="FootnoteReference"/>
        </w:rPr>
        <w:footnoteRef/>
      </w:r>
      <w:r>
        <w:t xml:space="preserve"> Eurofound (2018.), </w:t>
      </w:r>
      <w:r>
        <w:rPr>
          <w:i/>
        </w:rPr>
        <w:t>Employment and working conditions of selected types of platform work</w:t>
      </w:r>
      <w:r>
        <w:t xml:space="preserve"> (Zapošljavanje i radni uvjeti određenih vrsti rada preko platformi), Ured za publikacije Europske unije, Luxembourg.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538D7"/>
    <w:multiLevelType w:val="hybridMultilevel"/>
    <w:tmpl w:val="B4A836B6"/>
    <w:lvl w:ilvl="0">
      <w:start w:val="1"/>
      <w:numFmt w:val="bullet"/>
      <w:pStyle w:val="Normal12Bullet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footnotePr>
    <w:numRestart w:val="eachSect"/>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gruik" w:val="value of gruik"/>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sid w:val="003D5373"/>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rsid w:val="0090262C"/>
    <w:pPr>
      <w:widowControl/>
      <w:tabs>
        <w:tab w:val="center" w:pos="4536"/>
        <w:tab w:val="right" w:pos="9921"/>
      </w:tabs>
      <w:spacing w:after="240"/>
      <w:ind w:left="-850" w:right="-850"/>
    </w:pPr>
    <w:rPr>
      <w:rFonts w:ascii="Arial" w:hAnsi="Arial" w:cs="Arial"/>
      <w:sz w:val="48"/>
    </w:rPr>
  </w:style>
  <w:style w:type="paragraph" w:customStyle="1" w:styleId="Normal12a">
    <w:name w:val="Normal12a"/>
    <w:basedOn w:val="Normal"/>
    <w:pPr>
      <w:spacing w:after="240"/>
    </w:pPr>
  </w:style>
  <w:style w:type="paragraph" w:styleId="TOC1">
    <w:name w:val="toc 1"/>
    <w:basedOn w:val="Normal12a"/>
    <w:next w:val="Normal12a"/>
    <w:autoRedefine/>
    <w:semiHidden/>
    <w:rsid w:val="005B0EA9"/>
  </w:style>
  <w:style w:type="paragraph" w:styleId="TOCHeading">
    <w:name w:val="TOC Heading"/>
    <w:basedOn w:val="Normal12a"/>
    <w:next w:val="Normal12a"/>
    <w:qFormat/>
    <w:pPr>
      <w:keepNext/>
      <w:spacing w:before="240"/>
      <w:jc w:val="center"/>
    </w:pPr>
    <w:rPr>
      <w:rFonts w:ascii="Arial" w:hAnsi="Arial"/>
      <w:b/>
    </w:rPr>
  </w:style>
  <w:style w:type="paragraph" w:customStyle="1" w:styleId="TOCPage">
    <w:name w:val="TOC Page"/>
    <w:basedOn w:val="Normal12a"/>
    <w:next w:val="TOC1"/>
    <w:pPr>
      <w:keepNext/>
      <w:jc w:val="right"/>
    </w:pPr>
    <w:rPr>
      <w:rFonts w:ascii="Arial" w:hAnsi="Arial"/>
      <w:b/>
    </w:rPr>
  </w:style>
  <w:style w:type="character" w:customStyle="1" w:styleId="HideTWBInt">
    <w:name w:val="HideTWBInt"/>
    <w:rsid w:val="003D5373"/>
    <w:rPr>
      <w:rFonts w:ascii="Arial" w:hAnsi="Arial"/>
      <w:vanish/>
      <w:color w:val="808080"/>
      <w:sz w:val="20"/>
    </w:rPr>
  </w:style>
  <w:style w:type="paragraph" w:customStyle="1" w:styleId="TableofEntries">
    <w:name w:val="Table of Entries"/>
    <w:basedOn w:val="Normal12a"/>
    <w:pPr>
      <w:widowControl/>
      <w:tabs>
        <w:tab w:val="right" w:leader="dot" w:pos="9072"/>
      </w:tabs>
      <w:jc w:val="both"/>
    </w:pPr>
  </w:style>
  <w:style w:type="paragraph" w:customStyle="1" w:styleId="Normal6">
    <w:name w:val="Normal6"/>
    <w:basedOn w:val="Normal"/>
    <w:pPr>
      <w:spacing w:after="120"/>
    </w:pPr>
  </w:style>
  <w:style w:type="paragraph" w:customStyle="1" w:styleId="PageHeadingNotTOC">
    <w:name w:val="PageHeadingNotTOC"/>
    <w:basedOn w:val="Normal"/>
    <w:rsid w:val="007F5282"/>
    <w:pPr>
      <w:keepNext/>
      <w:spacing w:after="480"/>
      <w:jc w:val="center"/>
    </w:pPr>
    <w:rPr>
      <w:rFonts w:ascii="Arial" w:hAnsi="Arial"/>
      <w:b/>
    </w:rPr>
  </w:style>
  <w:style w:type="paragraph" w:customStyle="1" w:styleId="NormalBold">
    <w:name w:val="NormalBold"/>
    <w:basedOn w:val="Normal"/>
    <w:rPr>
      <w:b/>
    </w:rPr>
  </w:style>
  <w:style w:type="paragraph" w:customStyle="1" w:styleId="Normal12Italic">
    <w:name w:val="Normal12Italic"/>
    <w:basedOn w:val="Normal"/>
    <w:pPr>
      <w:spacing w:before="240"/>
    </w:pPr>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3D5373"/>
    <w:pPr>
      <w:spacing w:before="80" w:after="80"/>
    </w:pPr>
    <w:rPr>
      <w:rFonts w:ascii="Arial Narrow" w:hAnsi="Arial Narrow" w:cs="Arial"/>
      <w:b/>
      <w:sz w:val="32"/>
      <w:szCs w:val="22"/>
    </w:rPr>
  </w:style>
  <w:style w:type="paragraph" w:customStyle="1" w:styleId="Normal24">
    <w:name w:val="Normal24"/>
    <w:basedOn w:val="Normal"/>
    <w:pPr>
      <w:spacing w:after="480"/>
    </w:pPr>
  </w:style>
  <w:style w:type="paragraph" w:customStyle="1" w:styleId="CoverNormal12a">
    <w:name w:val="CoverNormal12a"/>
    <w:basedOn w:val="Normal"/>
    <w:rsid w:val="00F9176A"/>
    <w:pPr>
      <w:spacing w:after="240"/>
      <w:ind w:left="1418"/>
    </w:pPr>
  </w:style>
  <w:style w:type="paragraph" w:customStyle="1" w:styleId="Cover24">
    <w:name w:val="Cover24"/>
    <w:basedOn w:val="Normal24"/>
    <w:pPr>
      <w:ind w:left="1418"/>
    </w:pPr>
  </w:style>
  <w:style w:type="paragraph" w:customStyle="1" w:styleId="CoverNormal">
    <w:name w:val="CoverNormal"/>
    <w:basedOn w:val="Normal"/>
    <w:rsid w:val="003D5373"/>
    <w:pPr>
      <w:ind w:left="1418"/>
    </w:pPr>
  </w:style>
  <w:style w:type="paragraph" w:customStyle="1" w:styleId="Hanging12">
    <w:name w:val="Hanging12"/>
    <w:basedOn w:val="Normal12a"/>
    <w:pPr>
      <w:tabs>
        <w:tab w:val="left" w:pos="357"/>
      </w:tabs>
      <w:ind w:left="357" w:hanging="357"/>
    </w:pPr>
  </w:style>
  <w:style w:type="paragraph" w:customStyle="1" w:styleId="JustificationTitle">
    <w:name w:val="JustificationTitle"/>
    <w:basedOn w:val="Normal"/>
    <w:next w:val="Normal12a"/>
    <w:pPr>
      <w:keepNext/>
      <w:spacing w:before="240"/>
      <w:jc w:val="center"/>
    </w:pPr>
    <w:rPr>
      <w:i/>
    </w:rPr>
  </w:style>
  <w:style w:type="paragraph" w:customStyle="1" w:styleId="NormalCenter12a">
    <w:name w:val="NormalCenter12a"/>
    <w:basedOn w:val="Normal12a"/>
    <w:rsid w:val="006A1395"/>
    <w:pPr>
      <w:jc w:val="center"/>
    </w:pPr>
  </w:style>
  <w:style w:type="paragraph" w:customStyle="1" w:styleId="Normal12Tab">
    <w:name w:val="Normal12Tab"/>
    <w:basedOn w:val="Normal12a"/>
    <w:rsid w:val="00262065"/>
    <w:pPr>
      <w:tabs>
        <w:tab w:val="left" w:pos="567"/>
      </w:tabs>
    </w:pPr>
  </w:style>
  <w:style w:type="paragraph" w:customStyle="1" w:styleId="NormalBoldCentre">
    <w:name w:val="NormalBoldCentre"/>
    <w:basedOn w:val="Normal"/>
    <w:pPr>
      <w:jc w:val="center"/>
    </w:pPr>
    <w:rPr>
      <w:b/>
    </w:rPr>
  </w:style>
  <w:style w:type="paragraph" w:customStyle="1" w:styleId="RefProc">
    <w:name w:val="RefProc"/>
    <w:basedOn w:val="Normal"/>
    <w:rsid w:val="00F41746"/>
    <w:pPr>
      <w:spacing w:before="1080" w:after="240"/>
      <w:jc w:val="right"/>
    </w:pPr>
    <w:rPr>
      <w:rFonts w:ascii="Arial Bold" w:hAnsi="Arial Bold"/>
      <w: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customStyle="1" w:styleId="Justification">
    <w:name w:val="Justification"/>
    <w:basedOn w:val="Normal12a"/>
    <w:rPr>
      <w:i/>
    </w:rPr>
  </w:style>
  <w:style w:type="paragraph" w:customStyle="1" w:styleId="Olang">
    <w:name w:val="Olang"/>
    <w:basedOn w:val="Normal"/>
    <w:pPr>
      <w:spacing w:before="240" w:after="240"/>
      <w:jc w:val="right"/>
    </w:pPr>
    <w:rPr>
      <w:noProof/>
    </w:rPr>
  </w:style>
  <w:style w:type="paragraph" w:customStyle="1" w:styleId="Normal12Bold">
    <w:name w:val="Normal12Bold"/>
    <w:basedOn w:val="Normal"/>
    <w:pPr>
      <w:spacing w:after="240"/>
    </w:pPr>
    <w:rPr>
      <w:b/>
      <w:noProof/>
    </w:rPr>
  </w:style>
  <w:style w:type="paragraph" w:customStyle="1" w:styleId="NormalCentreKeep">
    <w:name w:val="NormalCentreKeep"/>
    <w:basedOn w:val="Normal"/>
    <w:pPr>
      <w:keepNext/>
      <w:jc w:val="center"/>
    </w:pPr>
    <w:rPr>
      <w:noProof/>
    </w:rPr>
  </w:style>
  <w:style w:type="paragraph" w:customStyle="1" w:styleId="NormalHanging12a">
    <w:name w:val="NormalHanging12a"/>
    <w:basedOn w:val="Normal"/>
    <w:rsid w:val="008915D9"/>
    <w:pPr>
      <w:spacing w:after="240"/>
      <w:ind w:left="567" w:hanging="567"/>
    </w:pPr>
  </w:style>
  <w:style w:type="paragraph" w:styleId="Header">
    <w:name w:val="header"/>
    <w:basedOn w:val="Normal"/>
    <w:pPr>
      <w:tabs>
        <w:tab w:val="center" w:pos="4153"/>
        <w:tab w:val="right" w:pos="8306"/>
      </w:tabs>
    </w:pPr>
  </w:style>
  <w:style w:type="table" w:styleId="TableGrid">
    <w:name w:val="Table Grid"/>
    <w:basedOn w:val="TableNormal"/>
    <w:rsid w:val="0070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00A24"/>
    <w:pPr>
      <w:jc w:val="center"/>
    </w:pPr>
    <w:rPr>
      <w:rFonts w:ascii="Arial" w:hAnsi="Arial" w:cs="Arial"/>
      <w:i/>
      <w:sz w:val="22"/>
      <w:szCs w:val="22"/>
      <w:lang w:val="fr-FR"/>
    </w:rPr>
  </w:style>
  <w:style w:type="paragraph" w:customStyle="1" w:styleId="LineTop">
    <w:name w:val="LineTop"/>
    <w:basedOn w:val="Normal"/>
    <w:next w:val="Normal"/>
    <w:rsid w:val="003D5373"/>
    <w:pPr>
      <w:pBdr>
        <w:top w:val="single" w:sz="4" w:space="1" w:color="auto"/>
      </w:pBdr>
      <w:jc w:val="center"/>
    </w:pPr>
    <w:rPr>
      <w:rFonts w:ascii="Arial" w:hAnsi="Arial"/>
      <w:sz w:val="16"/>
      <w:szCs w:val="16"/>
    </w:rPr>
  </w:style>
  <w:style w:type="paragraph" w:customStyle="1" w:styleId="LineBottom">
    <w:name w:val="LineBottom"/>
    <w:basedOn w:val="Normal"/>
    <w:next w:val="Normal"/>
    <w:rsid w:val="003D5373"/>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3D5373"/>
    <w:pPr>
      <w:spacing w:after="80"/>
    </w:pPr>
    <w:rPr>
      <w:rFonts w:ascii="Arial" w:hAnsi="Arial" w:cs="Arial"/>
      <w:sz w:val="20"/>
      <w:szCs w:val="22"/>
    </w:rPr>
  </w:style>
  <w:style w:type="paragraph" w:customStyle="1" w:styleId="EPLogo">
    <w:name w:val="EPLogo"/>
    <w:basedOn w:val="Normal"/>
    <w:qFormat/>
    <w:rsid w:val="003D5373"/>
    <w:pPr>
      <w:jc w:val="right"/>
    </w:pPr>
  </w:style>
  <w:style w:type="character" w:customStyle="1" w:styleId="Footer2Middle">
    <w:name w:val="Footer2Middle"/>
    <w:rsid w:val="003F3621"/>
    <w:rPr>
      <w:rFonts w:ascii="Arial" w:hAnsi="Arial"/>
      <w:b w:val="0"/>
      <w:i/>
      <w:color w:val="BFBFBF" w:themeColor="background1" w:themeShade="BF"/>
      <w:sz w:val="22"/>
    </w:rPr>
  </w:style>
  <w:style w:type="paragraph" w:customStyle="1" w:styleId="Normal10">
    <w:name w:val="Normal10"/>
    <w:qFormat/>
    <w:rsid w:val="00141754"/>
    <w:rPr>
      <w:szCs w:val="16"/>
    </w:rPr>
  </w:style>
  <w:style w:type="paragraph" w:customStyle="1" w:styleId="Normal10Bold">
    <w:name w:val="Normal10Bold"/>
    <w:basedOn w:val="Normal10"/>
    <w:qFormat/>
    <w:rsid w:val="00141754"/>
    <w:rPr>
      <w:b/>
    </w:rPr>
  </w:style>
  <w:style w:type="paragraph" w:customStyle="1" w:styleId="Normal12BoldItalic">
    <w:name w:val="Normal12BoldItalic"/>
    <w:basedOn w:val="Normal12Bold"/>
    <w:qFormat/>
    <w:rsid w:val="00141754"/>
    <w:rPr>
      <w:i/>
    </w:rPr>
  </w:style>
  <w:style w:type="character" w:customStyle="1" w:styleId="Underline">
    <w:name w:val="Underline"/>
    <w:basedOn w:val="DefaultParagraphFont"/>
    <w:uiPriority w:val="1"/>
    <w:qFormat/>
    <w:rsid w:val="00141754"/>
    <w:rPr>
      <w:rFonts w:ascii="Times New Roman" w:hAnsi="Times New Roman"/>
      <w:sz w:val="24"/>
      <w:u w:val="single"/>
    </w:rPr>
  </w:style>
  <w:style w:type="character" w:customStyle="1" w:styleId="Italic">
    <w:name w:val="Italic"/>
    <w:basedOn w:val="Underline"/>
    <w:uiPriority w:val="1"/>
    <w:qFormat/>
    <w:rsid w:val="00141754"/>
    <w:rPr>
      <w:rFonts w:ascii="Times New Roman" w:hAnsi="Times New Roman"/>
      <w:i/>
      <w:sz w:val="24"/>
      <w:u w:val="none"/>
    </w:rPr>
  </w:style>
  <w:style w:type="character" w:customStyle="1" w:styleId="BoldItalic">
    <w:name w:val="BoldItalic"/>
    <w:basedOn w:val="Italic"/>
    <w:uiPriority w:val="1"/>
    <w:qFormat/>
    <w:rsid w:val="00141754"/>
    <w:rPr>
      <w:rFonts w:ascii="Times New Roman" w:hAnsi="Times New Roman"/>
      <w:b/>
      <w:i/>
      <w:sz w:val="24"/>
      <w:u w:val="none"/>
    </w:rPr>
  </w:style>
  <w:style w:type="paragraph" w:customStyle="1" w:styleId="CoverLeftb48">
    <w:name w:val="CoverLeftb48"/>
    <w:basedOn w:val="CoverNormal12a"/>
    <w:qFormat/>
    <w:rsid w:val="009A66AA"/>
    <w:pPr>
      <w:spacing w:before="960" w:after="0"/>
    </w:pPr>
  </w:style>
  <w:style w:type="paragraph" w:customStyle="1" w:styleId="Cover12b48">
    <w:name w:val="Cover12b48"/>
    <w:basedOn w:val="CoverNormal12a"/>
    <w:qFormat/>
    <w:rsid w:val="00BD050A"/>
    <w:pPr>
      <w:spacing w:before="960" w:after="0"/>
    </w:pPr>
  </w:style>
  <w:style w:type="character" w:customStyle="1" w:styleId="Footer2Lang">
    <w:name w:val="Footer2Lang"/>
    <w:rsid w:val="0090262C"/>
    <w:rPr>
      <w:rFonts w:ascii="Arial" w:hAnsi="Arial"/>
      <w:b/>
      <w:sz w:val="48"/>
    </w:rPr>
  </w:style>
  <w:style w:type="character" w:styleId="FootnoteReference">
    <w:name w:val="footnote reference"/>
    <w:basedOn w:val="DefaultParagraphFont"/>
    <w:rsid w:val="002E7FB1"/>
    <w:rPr>
      <w:rFonts w:ascii="Times New Roman" w:hAnsi="Times New Roman"/>
      <w:sz w:val="24"/>
      <w:vertAlign w:val="superscript"/>
    </w:rPr>
  </w:style>
  <w:style w:type="paragraph" w:styleId="FootnoteText">
    <w:name w:val="footnote text"/>
    <w:basedOn w:val="Normal"/>
    <w:link w:val="FootnoteTextChar"/>
    <w:rsid w:val="00D47A73"/>
    <w:pPr>
      <w:keepLines/>
      <w:widowControl/>
    </w:pPr>
    <w:rPr>
      <w:sz w:val="20"/>
    </w:rPr>
  </w:style>
  <w:style w:type="character" w:customStyle="1" w:styleId="FootnoteTextChar">
    <w:name w:val="Footnote Text Char"/>
    <w:basedOn w:val="DefaultParagraphFont"/>
    <w:link w:val="FootnoteText"/>
    <w:rsid w:val="00D47A73"/>
  </w:style>
  <w:style w:type="character" w:customStyle="1" w:styleId="Bold">
    <w:name w:val="Bold"/>
    <w:uiPriority w:val="1"/>
    <w:qFormat/>
    <w:rsid w:val="00BD2A84"/>
    <w:rPr>
      <w:b/>
    </w:rPr>
  </w:style>
  <w:style w:type="paragraph" w:customStyle="1" w:styleId="Normal12Bullet1">
    <w:name w:val="Normal12Bullet1"/>
    <w:basedOn w:val="Normal12a"/>
    <w:qFormat/>
    <w:rsid w:val="00E4327D"/>
    <w:pPr>
      <w:numPr>
        <w:numId w:val="1"/>
      </w:numPr>
    </w:pPr>
  </w:style>
  <w:style w:type="character" w:customStyle="1" w:styleId="Sup">
    <w:name w:val="Sup"/>
    <w:uiPriority w:val="1"/>
    <w:qFormat/>
    <w:rsid w:val="00CA2EC6"/>
    <w:rPr>
      <w:vertAlign w:val="superscript"/>
    </w:rPr>
  </w:style>
  <w:style w:type="character" w:customStyle="1" w:styleId="SupBoldItalic">
    <w:name w:val="SupBoldItalic"/>
    <w:uiPriority w:val="1"/>
    <w:qFormat/>
    <w:rsid w:val="00344E6F"/>
    <w:rPr>
      <w:b/>
      <w:i/>
      <w:sz w:val="24"/>
      <w:vertAlign w:val="superscript"/>
    </w:rPr>
  </w:style>
  <w:style w:type="paragraph" w:customStyle="1" w:styleId="NormalBoldItalicCentre">
    <w:name w:val="NormalBoldItalic_Centre"/>
    <w:basedOn w:val="Normal"/>
    <w:qFormat/>
    <w:rsid w:val="007B4DAE"/>
    <w:pPr>
      <w:jc w:val="center"/>
    </w:pPr>
    <w:rPr>
      <w:b/>
      <w:i/>
    </w:rPr>
  </w:style>
  <w:style w:type="paragraph" w:customStyle="1" w:styleId="Normal12Hanging0">
    <w:name w:val="Normal12Hanging0"/>
    <w:basedOn w:val="NormalHanging12a"/>
    <w:qFormat/>
    <w:rsid w:val="003F691A"/>
  </w:style>
  <w:style w:type="paragraph" w:customStyle="1" w:styleId="Normal12Hanging1">
    <w:name w:val="Normal12Hanging1"/>
    <w:basedOn w:val="Normal12Hanging0"/>
    <w:qFormat/>
    <w:rsid w:val="003F691A"/>
    <w:pPr>
      <w:ind w:left="992" w:hanging="425"/>
    </w:pPr>
  </w:style>
  <w:style w:type="paragraph" w:customStyle="1" w:styleId="Normal12Hanging2">
    <w:name w:val="Normal12Hanging2"/>
    <w:basedOn w:val="NormalHanging12a"/>
    <w:qFormat/>
    <w:rsid w:val="003F691A"/>
    <w:pPr>
      <w:ind w:left="1417" w:hanging="425"/>
    </w:pPr>
  </w:style>
  <w:style w:type="paragraph" w:customStyle="1" w:styleId="Normal12Hanging3">
    <w:name w:val="Normal12Hanging3"/>
    <w:basedOn w:val="Normal12Hanging2"/>
    <w:qFormat/>
    <w:rsid w:val="003F691A"/>
    <w:pPr>
      <w:ind w:left="1843"/>
    </w:pPr>
  </w:style>
  <w:style w:type="paragraph" w:customStyle="1" w:styleId="Normal12Hanging4">
    <w:name w:val="Normal12Hanging4"/>
    <w:basedOn w:val="Normal12Hanging3"/>
    <w:qFormat/>
    <w:rsid w:val="003F691A"/>
    <w:pPr>
      <w:ind w:left="2268"/>
    </w:pPr>
  </w:style>
  <w:style w:type="paragraph" w:customStyle="1" w:styleId="Normal12Hanging5">
    <w:name w:val="Normal12Hanging5"/>
    <w:basedOn w:val="Normal12Hanging4"/>
    <w:qFormat/>
    <w:rsid w:val="003F691A"/>
    <w:pPr>
      <w:ind w:left="2693"/>
    </w:pPr>
  </w:style>
  <w:style w:type="paragraph" w:customStyle="1" w:styleId="Normal12Hanging6">
    <w:name w:val="Normal12Hanging6"/>
    <w:basedOn w:val="Normal12Hanging5"/>
    <w:qFormat/>
    <w:rsid w:val="003F691A"/>
    <w:pPr>
      <w:ind w:left="3118"/>
    </w:pPr>
  </w:style>
  <w:style w:type="paragraph" w:customStyle="1" w:styleId="Normal12Hanging7">
    <w:name w:val="Normal12Hanging7"/>
    <w:basedOn w:val="Normal12Hanging6"/>
    <w:qFormat/>
    <w:rsid w:val="003F691A"/>
    <w:pPr>
      <w:ind w:left="3544"/>
    </w:pPr>
  </w:style>
  <w:style w:type="paragraph" w:customStyle="1" w:styleId="Normal12Hanging8">
    <w:name w:val="Normal12Hanging8"/>
    <w:basedOn w:val="Normal12Hanging7"/>
    <w:qFormat/>
    <w:rsid w:val="003F691A"/>
    <w:pPr>
      <w:ind w:left="3969"/>
    </w:pPr>
  </w:style>
  <w:style w:type="paragraph" w:customStyle="1" w:styleId="Normal12HangingJustified">
    <w:name w:val="Normal12HangingJustified"/>
    <w:basedOn w:val="NormalHanging12a"/>
    <w:qFormat/>
    <w:rsid w:val="00FB5372"/>
    <w:pPr>
      <w:ind w:left="714" w:hanging="357"/>
      <w:jc w:val="both"/>
    </w:pPr>
  </w:style>
  <w:style w:type="paragraph" w:customStyle="1" w:styleId="Normal12BoldVote">
    <w:name w:val="Normal12BoldVote"/>
    <w:basedOn w:val="Normal"/>
    <w:qFormat/>
    <w:rsid w:val="00574CE7"/>
    <w:rPr>
      <w:b/>
    </w:rPr>
  </w:style>
  <w:style w:type="paragraph" w:customStyle="1" w:styleId="Arial14CentreBold">
    <w:name w:val="Arial14CentreBold"/>
    <w:basedOn w:val="Normal"/>
    <w:qFormat/>
    <w:rsid w:val="00574CE7"/>
    <w:pPr>
      <w:jc w:val="center"/>
    </w:pPr>
    <w:rPr>
      <w:rFonts w:ascii="Arial" w:hAnsi="Arial"/>
      <w:b/>
      <w:sz w:val="28"/>
    </w:rPr>
  </w:style>
  <w:style w:type="paragraph" w:customStyle="1" w:styleId="Normal11Centered">
    <w:name w:val="Normal11Centered"/>
    <w:basedOn w:val="NormalBoldItalicCentre"/>
    <w:next w:val="Normal"/>
    <w:qFormat/>
    <w:rsid w:val="008273BA"/>
    <w:rPr>
      <w:b w:val="0"/>
      <w:i w:val="0"/>
      <w:sz w:val="22"/>
    </w:rPr>
  </w:style>
  <w:style w:type="paragraph" w:customStyle="1" w:styleId="ColumnHeading">
    <w:name w:val="ColumnHeading"/>
    <w:basedOn w:val="Normal"/>
    <w:qFormat/>
    <w:rsid w:val="009B44F6"/>
    <w:pPr>
      <w:spacing w:after="240"/>
      <w:jc w:val="center"/>
    </w:pPr>
    <w:rPr>
      <w:i/>
    </w:rPr>
  </w:style>
  <w:style w:type="character" w:customStyle="1" w:styleId="Normal6RomanBI">
    <w:name w:val="Normal6RomanBI"/>
    <w:uiPriority w:val="1"/>
    <w:qFormat/>
    <w:rsid w:val="009504D4"/>
    <w:rPr>
      <w:rFonts w:ascii="Times New Roman" w:hAnsi="Times New Roman"/>
      <w:b/>
      <w:i/>
      <w:sz w:val="24"/>
    </w:rPr>
  </w:style>
  <w:style w:type="paragraph" w:customStyle="1" w:styleId="Normal6Italic">
    <w:name w:val="Normal6Italic"/>
    <w:basedOn w:val="Normal"/>
    <w:qFormat/>
    <w:rsid w:val="000B55A6"/>
    <w:pPr>
      <w:spacing w:after="120"/>
    </w:pPr>
    <w:rPr>
      <w:i/>
    </w:rPr>
  </w:style>
  <w:style w:type="paragraph" w:customStyle="1" w:styleId="Normal6Center">
    <w:name w:val="Normal6 + Center"/>
    <w:qFormat/>
    <w:rsid w:val="00737FA8"/>
    <w:pPr>
      <w:spacing w:after="120"/>
      <w:jc w:val="center"/>
    </w:pPr>
    <w:rPr>
      <w:b/>
      <w:i/>
      <w:sz w:val="24"/>
    </w:rPr>
  </w:style>
  <w:style w:type="character" w:customStyle="1" w:styleId="SubBoldItalic">
    <w:name w:val="SubBoldItalic"/>
    <w:uiPriority w:val="1"/>
    <w:qFormat/>
    <w:rsid w:val="00D51C2B"/>
    <w:rPr>
      <w:b/>
      <w:i/>
      <w:vertAlign w:val="subscript"/>
    </w:rPr>
  </w:style>
  <w:style w:type="character" w:customStyle="1" w:styleId="SubBold">
    <w:name w:val="SubBold"/>
    <w:uiPriority w:val="1"/>
    <w:qFormat/>
    <w:rsid w:val="00D51C2B"/>
    <w:rPr>
      <w:b/>
      <w:vertAlign w:val="subscript"/>
    </w:rPr>
  </w:style>
  <w:style w:type="character" w:customStyle="1" w:styleId="SubItalic">
    <w:name w:val="SubItalic"/>
    <w:uiPriority w:val="1"/>
    <w:qFormat/>
    <w:rsid w:val="00D51C2B"/>
    <w:rPr>
      <w:i/>
      <w:vertAlign w:val="subscript"/>
    </w:rPr>
  </w:style>
  <w:style w:type="paragraph" w:customStyle="1" w:styleId="FooterLandscape">
    <w:name w:val="FooterLandscape"/>
    <w:basedOn w:val="Footer"/>
    <w:qFormat/>
    <w:rsid w:val="00965222"/>
    <w:pPr>
      <w:tabs>
        <w:tab w:val="clear" w:pos="4536"/>
        <w:tab w:val="center" w:pos="6804"/>
        <w:tab w:val="clear" w:pos="9072"/>
        <w:tab w:val="right" w:pos="13608"/>
      </w:tabs>
    </w:pPr>
  </w:style>
  <w:style w:type="paragraph" w:customStyle="1" w:styleId="Footer2Landscape">
    <w:name w:val="Footer2Landscape"/>
    <w:basedOn w:val="Footer2"/>
    <w:qFormat/>
    <w:rsid w:val="00965222"/>
    <w:pPr>
      <w:tabs>
        <w:tab w:val="clear" w:pos="4536"/>
        <w:tab w:val="right" w:pos="6804"/>
        <w:tab w:val="clear" w:pos="9921"/>
        <w:tab w:val="right" w:pos="13608"/>
      </w:tabs>
    </w:pPr>
  </w:style>
  <w:style w:type="paragraph" w:customStyle="1" w:styleId="CrossRef">
    <w:name w:val="CrossRef"/>
    <w:qFormat/>
    <w:rsid w:val="00F2340A"/>
    <w:pPr>
      <w:spacing w:before="240"/>
      <w:jc w:val="center"/>
    </w:pPr>
    <w:rPr>
      <w:i/>
      <w:color w:val="000000" w:themeColor="text1"/>
      <w:sz w:val="24"/>
    </w:rPr>
  </w:style>
  <w:style w:type="paragraph" w:customStyle="1" w:styleId="NormalBold12b">
    <w:name w:val="NormalBold12b"/>
    <w:basedOn w:val="Normal"/>
    <w:qFormat/>
    <w:rsid w:val="0024476E"/>
    <w:pPr>
      <w:spacing w:before="240"/>
    </w:pPr>
    <w:rPr>
      <w:b/>
    </w:rPr>
  </w:style>
  <w:style w:type="character" w:customStyle="1" w:styleId="Sub">
    <w:name w:val="Sub"/>
    <w:uiPriority w:val="1"/>
    <w:qFormat/>
    <w:rsid w:val="00A11882"/>
    <w:rPr>
      <w:vertAlign w:val="subscript"/>
    </w:rPr>
  </w:style>
  <w:style w:type="paragraph" w:customStyle="1" w:styleId="Normal12HangingCenter">
    <w:name w:val="Normal12HangingCenter"/>
    <w:basedOn w:val="NormalHanging12a"/>
    <w:qFormat/>
    <w:rsid w:val="00EA05A6"/>
    <w:pPr>
      <w:jc w:val="center"/>
    </w:pPr>
  </w:style>
  <w:style w:type="paragraph" w:customStyle="1" w:styleId="Normal2">
    <w:name w:val="Normal2"/>
    <w:next w:val="Normal"/>
    <w:qFormat/>
    <w:rsid w:val="00880445"/>
    <w:pPr>
      <w:spacing w:line="120" w:lineRule="auto"/>
    </w:pPr>
    <w:rPr>
      <w:color w:val="000000"/>
      <w:sz w:val="4"/>
      <w:szCs w:val="24"/>
    </w:rPr>
  </w:style>
  <w:style w:type="paragraph" w:customStyle="1" w:styleId="AmColumnHeading">
    <w:name w:val="AmColumnHeading"/>
    <w:basedOn w:val="Normal"/>
    <w:rsid w:val="003D5373"/>
    <w:pPr>
      <w:spacing w:after="240"/>
      <w:jc w:val="center"/>
    </w:pPr>
    <w:rPr>
      <w:i/>
    </w:rPr>
  </w:style>
  <w:style w:type="paragraph" w:customStyle="1" w:styleId="AmCrossRef">
    <w:name w:val="AmCrossRef"/>
    <w:basedOn w:val="Normal"/>
    <w:rsid w:val="003D5373"/>
    <w:pPr>
      <w:spacing w:before="240" w:after="240"/>
      <w:jc w:val="center"/>
    </w:pPr>
    <w:rPr>
      <w:i/>
    </w:rPr>
  </w:style>
  <w:style w:type="paragraph" w:customStyle="1" w:styleId="AmJustText">
    <w:name w:val="AmJustText"/>
    <w:basedOn w:val="Normal"/>
    <w:rsid w:val="003D5373"/>
    <w:pPr>
      <w:spacing w:after="240"/>
    </w:pPr>
    <w:rPr>
      <w:i/>
    </w:rPr>
  </w:style>
  <w:style w:type="paragraph" w:customStyle="1" w:styleId="AmJustTitle">
    <w:name w:val="AmJustTitle"/>
    <w:basedOn w:val="Normal"/>
    <w:next w:val="AmJustText"/>
    <w:rsid w:val="003D5373"/>
    <w:pPr>
      <w:keepNext/>
      <w:spacing w:before="240" w:after="240"/>
      <w:jc w:val="center"/>
    </w:pPr>
    <w:rPr>
      <w:i/>
    </w:rPr>
  </w:style>
  <w:style w:type="paragraph" w:customStyle="1" w:styleId="AmNumberTabs">
    <w:name w:val="AmNumberTabs"/>
    <w:basedOn w:val="Normal"/>
    <w:rsid w:val="003D53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OrLang">
    <w:name w:val="AmOrLang"/>
    <w:basedOn w:val="Normal"/>
    <w:rsid w:val="003D5373"/>
    <w:pPr>
      <w:spacing w:before="240" w:after="240"/>
      <w:jc w:val="right"/>
    </w:pPr>
  </w:style>
  <w:style w:type="paragraph" w:customStyle="1" w:styleId="CoverBold">
    <w:name w:val="CoverBold"/>
    <w:basedOn w:val="Normal"/>
    <w:rsid w:val="003D5373"/>
    <w:pPr>
      <w:ind w:left="1417"/>
    </w:pPr>
    <w:rPr>
      <w:b/>
    </w:rPr>
  </w:style>
  <w:style w:type="paragraph" w:customStyle="1" w:styleId="CoverDate">
    <w:name w:val="CoverDate"/>
    <w:basedOn w:val="Normal"/>
    <w:rsid w:val="003D5373"/>
    <w:pPr>
      <w:spacing w:before="240" w:after="1200"/>
    </w:pPr>
  </w:style>
  <w:style w:type="paragraph" w:customStyle="1" w:styleId="CoverDocType">
    <w:name w:val="CoverDocType"/>
    <w:basedOn w:val="Normal"/>
    <w:rsid w:val="003D5373"/>
    <w:pPr>
      <w:ind w:left="1418"/>
    </w:pPr>
    <w:rPr>
      <w:rFonts w:ascii="Arial" w:hAnsi="Arial"/>
      <w:b/>
      <w:sz w:val="48"/>
    </w:rPr>
  </w:style>
  <w:style w:type="paragraph" w:customStyle="1" w:styleId="CoverDocType24a">
    <w:name w:val="CoverDocType24a"/>
    <w:basedOn w:val="Normal"/>
    <w:rsid w:val="003D5373"/>
    <w:pPr>
      <w:spacing w:after="480"/>
      <w:ind w:left="1417"/>
    </w:pPr>
    <w:rPr>
      <w:rFonts w:ascii="Arial" w:hAnsi="Arial" w:cs="Arial"/>
      <w:b/>
      <w:sz w:val="48"/>
    </w:rPr>
  </w:style>
  <w:style w:type="paragraph" w:customStyle="1" w:styleId="CoverNormal24a">
    <w:name w:val="CoverNormal24a"/>
    <w:basedOn w:val="Normal"/>
    <w:rsid w:val="003D5373"/>
    <w:pPr>
      <w:spacing w:after="480"/>
      <w:ind w:left="1417"/>
    </w:pPr>
  </w:style>
  <w:style w:type="paragraph" w:customStyle="1" w:styleId="CoverReference">
    <w:name w:val="CoverReference"/>
    <w:basedOn w:val="Normal"/>
    <w:rsid w:val="003D5373"/>
    <w:pPr>
      <w:spacing w:before="1080"/>
      <w:jc w:val="right"/>
    </w:pPr>
    <w:rPr>
      <w:rFonts w:ascii="Arial" w:hAnsi="Arial"/>
      <w:b/>
    </w:rPr>
  </w:style>
  <w:style w:type="paragraph" w:customStyle="1" w:styleId="EPBody">
    <w:name w:val="EPBody"/>
    <w:basedOn w:val="Normal"/>
    <w:rsid w:val="003D5373"/>
    <w:pPr>
      <w:jc w:val="center"/>
    </w:pPr>
    <w:rPr>
      <w:rFonts w:ascii="Arial" w:hAnsi="Arial" w:cs="Arial"/>
      <w:i/>
      <w:sz w:val="22"/>
      <w:szCs w:val="22"/>
    </w:rPr>
  </w:style>
  <w:style w:type="paragraph" w:customStyle="1" w:styleId="EPFooter">
    <w:name w:val="EPFooter"/>
    <w:basedOn w:val="Normal"/>
    <w:rsid w:val="003D5373"/>
    <w:pPr>
      <w:tabs>
        <w:tab w:val="center" w:pos="4535"/>
        <w:tab w:val="right" w:pos="9071"/>
      </w:tabs>
      <w:spacing w:before="240" w:after="240"/>
    </w:pPr>
    <w:rPr>
      <w:sz w:val="22"/>
    </w:rPr>
  </w:style>
  <w:style w:type="paragraph" w:customStyle="1" w:styleId="EPFooter2">
    <w:name w:val="EPFooter2"/>
    <w:basedOn w:val="Normal"/>
    <w:next w:val="Normal"/>
    <w:rsid w:val="003D5373"/>
    <w:pPr>
      <w:widowControl/>
      <w:tabs>
        <w:tab w:val="center" w:pos="4535"/>
        <w:tab w:val="right" w:pos="9921"/>
      </w:tabs>
      <w:ind w:left="-850" w:right="-850"/>
    </w:pPr>
    <w:rPr>
      <w:rFonts w:ascii="Arial" w:hAnsi="Arial" w:cs="Arial"/>
      <w:b/>
      <w:sz w:val="48"/>
    </w:rPr>
  </w:style>
  <w:style w:type="paragraph" w:customStyle="1" w:styleId="EPFooter2Landscape">
    <w:name w:val="EPFooter2Landscape"/>
    <w:qFormat/>
    <w:rsid w:val="003D5373"/>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D5373"/>
    <w:rPr>
      <w:rFonts w:ascii="Arial" w:hAnsi="Arial"/>
      <w:b w:val="0"/>
      <w:i/>
      <w:color w:val="C0C0C0"/>
      <w:sz w:val="22"/>
    </w:rPr>
  </w:style>
  <w:style w:type="paragraph" w:customStyle="1" w:styleId="EPFooterLandscape">
    <w:name w:val="EPFooterLandscape"/>
    <w:qFormat/>
    <w:rsid w:val="003D5373"/>
    <w:pPr>
      <w:tabs>
        <w:tab w:val="center" w:pos="6804"/>
        <w:tab w:val="right" w:pos="15026"/>
      </w:tabs>
    </w:pPr>
    <w:rPr>
      <w:sz w:val="22"/>
    </w:rPr>
  </w:style>
  <w:style w:type="paragraph" w:customStyle="1" w:styleId="Normal6a">
    <w:name w:val="Normal6a"/>
    <w:basedOn w:val="Normal"/>
    <w:rsid w:val="003D5373"/>
    <w:pPr>
      <w:spacing w:after="120"/>
    </w:pPr>
  </w:style>
  <w:style w:type="character" w:customStyle="1" w:styleId="NormalBI">
    <w:name w:val="NormalBI"/>
    <w:basedOn w:val="DefaultParagraphFont"/>
    <w:uiPriority w:val="1"/>
    <w:qFormat/>
    <w:rsid w:val="003D5373"/>
    <w:rPr>
      <w:rFonts w:ascii="Times New Roman" w:hAnsi="Times New Roman"/>
      <w:b/>
      <w:i/>
      <w:sz w:val="24"/>
    </w:rPr>
  </w:style>
  <w:style w:type="paragraph" w:customStyle="1" w:styleId="NormalBoldItalic6a">
    <w:name w:val="NormalBoldItalic6a"/>
    <w:basedOn w:val="Normal6a"/>
    <w:qFormat/>
    <w:rsid w:val="003D5373"/>
    <w:rPr>
      <w:b/>
      <w:i/>
    </w:rPr>
  </w:style>
  <w:style w:type="paragraph" w:customStyle="1" w:styleId="NormalBoldItalicCenter6a">
    <w:name w:val="NormalBoldItalicCenter6a"/>
    <w:basedOn w:val="Normal6a"/>
    <w:qFormat/>
    <w:rsid w:val="003D5373"/>
    <w:pPr>
      <w:jc w:val="center"/>
    </w:pPr>
    <w:rPr>
      <w:b/>
      <w:i/>
    </w:rPr>
  </w:style>
  <w:style w:type="paragraph" w:customStyle="1" w:styleId="NormalItalic6a">
    <w:name w:val="NormalItalic6a"/>
    <w:basedOn w:val="Normal6a"/>
    <w:qFormat/>
    <w:rsid w:val="003D5373"/>
    <w:rPr>
      <w:i/>
    </w:rPr>
  </w:style>
  <w:style w:type="character" w:customStyle="1" w:styleId="HideTermComment">
    <w:name w:val="HideTermComment"/>
    <w:uiPriority w:val="1"/>
    <w:qFormat/>
    <w:rsid w:val="008110B5"/>
    <w:rPr>
      <w:rFonts w:ascii="Arial" w:hAnsi="Arial"/>
      <w:vanish/>
      <w:color w:val="0066CC"/>
      <w:sz w:val="18"/>
    </w:rPr>
  </w:style>
  <w:style w:type="character" w:customStyle="1" w:styleId="HideTerminTermComment">
    <w:name w:val="HideTerminTermComment"/>
    <w:basedOn w:val="HideTermComment"/>
    <w:uiPriority w:val="1"/>
    <w:qFormat/>
    <w:rsid w:val="008110B5"/>
    <w:rPr>
      <w:rFonts w:ascii="Arial" w:hAnsi="Arial"/>
      <w:vanish/>
      <w:color w:val="538135" w:themeColor="accent6" w:themeShade="BF"/>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1221668</vt:lpwstr>
  </property>
  <property fmtid="{D5CDD505-2E9C-101B-9397-08002B2CF9AE}" pid="4" name="&lt;Model&gt;">
    <vt:lpwstr>PA_NonLeg</vt:lpwstr>
  </property>
  <property fmtid="{D5CDD505-2E9C-101B-9397-08002B2CF9AE}" pid="5" name="&lt;Type&gt;">
    <vt:lpwstr>PA</vt:lpwstr>
  </property>
  <property fmtid="{D5CDD505-2E9C-101B-9397-08002B2CF9AE}" pid="6" name="DMXMLUID">
    <vt:lpwstr>20210120-163320-050167-364643</vt:lpwstr>
  </property>
  <property fmtid="{D5CDD505-2E9C-101B-9397-08002B2CF9AE}" pid="7" name="FooterPath">
    <vt:lpwstr>PA\1221668HR.doc</vt:lpwstr>
  </property>
  <property fmtid="{D5CDD505-2E9C-101B-9397-08002B2CF9AE}" pid="8" name="PE Number">
    <vt:lpwstr>663.114</vt:lpwstr>
  </property>
  <property fmtid="{D5CDD505-2E9C-101B-9397-08002B2CF9AE}" pid="9" name="UID">
    <vt:lpwstr>eu.europa.europarl-DIN1-2021-0000000305_01.05-hr-06.00_text-xml</vt:lpwstr>
  </property>
</Properties>
</file>