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B6031A" w:rsidP="00B6031A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>
        <w:rPr>
          <w:sz w:val="28"/>
          <w:lang w:val="en-GB"/>
        </w:rPr>
        <w:t>If I may refer to President Sassoli, my int</w:t>
      </w:r>
      <w:r w:rsidR="003C08DA">
        <w:rPr>
          <w:sz w:val="28"/>
          <w:lang w:val="en-GB"/>
        </w:rPr>
        <w:t>erpretation of his comments was</w:t>
      </w:r>
      <w:r>
        <w:rPr>
          <w:sz w:val="28"/>
          <w:lang w:val="en-GB"/>
        </w:rPr>
        <w:t xml:space="preserve"> that, in the event of no agreement being reached, there were two choices. I think the President was quite clear.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38_09-10-2019-174616.doc"/>
    <w:docVar w:name="varPresident" w:val="President"/>
    <w:docVar w:name="varPresidentIntro" w:val="President"/>
    <w:docVar w:name="varSittingTitle" w:val="WEDNESDAY, 9 OCTOBER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60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31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60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31A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METCALF James</cp:lastModifiedBy>
  <cp:revision>2</cp:revision>
  <dcterms:created xsi:type="dcterms:W3CDTF">2019-10-09T15:49:00Z</dcterms:created>
  <dcterms:modified xsi:type="dcterms:W3CDTF">2019-10-09T15:49:00Z</dcterms:modified>
</cp:coreProperties>
</file>