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C4238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675D95">
        <w:rPr>
          <w:b/>
          <w:sz w:val="28"/>
          <w:szCs w:val="28"/>
          <w:lang w:val="en-GB"/>
        </w:rPr>
        <w:t xml:space="preserve">Michal </w:t>
      </w:r>
      <w:r w:rsidRPr="00675D95">
        <w:rPr>
          <w:b/>
          <w:sz w:val="28"/>
          <w:szCs w:val="28"/>
          <w:lang w:val="en-GB"/>
        </w:rPr>
        <w:t>Wiezik</w:t>
      </w:r>
      <w:r w:rsidRPr="00675D95">
        <w:rPr>
          <w:b/>
          <w:sz w:val="28"/>
          <w:szCs w:val="28"/>
          <w:lang w:val="en-GB"/>
        </w:rPr>
        <w:t xml:space="preserve"> (PPE).</w:t>
      </w:r>
      <w:r w:rsidRPr="00675D95">
        <w:rPr>
          <w:sz w:val="28"/>
          <w:szCs w:val="28"/>
          <w:lang w:val="en-GB"/>
        </w:rPr>
        <w:t xml:space="preserve"> </w:t>
      </w:r>
      <w:r w:rsidRPr="00675D95">
        <w:rPr>
          <w:rFonts w:cs="Calibri"/>
          <w:sz w:val="28"/>
          <w:szCs w:val="28"/>
        </w:rPr>
        <w:t>–</w:t>
      </w:r>
      <w:r w:rsidRPr="00675D95">
        <w:rPr>
          <w:sz w:val="28"/>
          <w:szCs w:val="28"/>
          <w:lang w:val="en-GB"/>
        </w:rPr>
        <w:t xml:space="preserve"> </w:t>
      </w:r>
      <w:r w:rsidR="00D14BEB">
        <w:rPr>
          <w:sz w:val="28"/>
          <w:szCs w:val="28"/>
          <w:lang w:val="sk-SK"/>
        </w:rPr>
        <w:t>P</w:t>
      </w:r>
      <w:r w:rsidRPr="00D14BEB">
        <w:rPr>
          <w:sz w:val="28"/>
          <w:szCs w:val="28"/>
          <w:lang w:val="sk-SK"/>
        </w:rPr>
        <w:t>án predsedajúci</w:t>
      </w:r>
      <w:r w:rsidR="00D14BEB">
        <w:rPr>
          <w:sz w:val="28"/>
          <w:szCs w:val="28"/>
          <w:lang w:val="sk-SK"/>
        </w:rPr>
        <w:t>, o</w:t>
      </w:r>
      <w:r w:rsidRPr="00D14BEB">
        <w:rPr>
          <w:sz w:val="28"/>
          <w:szCs w:val="28"/>
          <w:lang w:val="sk-SK"/>
        </w:rPr>
        <w:t xml:space="preserve">chrana peňazí daňových poplatníkov Európskej únie pred </w:t>
      </w:r>
      <w:r w:rsidR="00D14BEB">
        <w:rPr>
          <w:sz w:val="28"/>
          <w:szCs w:val="28"/>
          <w:lang w:val="sk-SK"/>
        </w:rPr>
        <w:t xml:space="preserve">ich </w:t>
      </w:r>
      <w:r w:rsidRPr="00D14BEB">
        <w:rPr>
          <w:sz w:val="28"/>
          <w:szCs w:val="28"/>
          <w:lang w:val="sk-SK"/>
        </w:rPr>
        <w:t>zneužitím oligarchami musí byť našou prioritou. Existujúce mechanizmy sú však zjavne nedostatočné. Kontrola na národnej úrovni je slabá</w:t>
      </w:r>
      <w:r w:rsidR="00D14BEB">
        <w:rPr>
          <w:sz w:val="28"/>
          <w:szCs w:val="28"/>
          <w:lang w:val="sk-SK"/>
        </w:rPr>
        <w:t>,</w:t>
      </w:r>
      <w:r w:rsidRPr="00D14BEB">
        <w:rPr>
          <w:sz w:val="28"/>
          <w:szCs w:val="28"/>
          <w:lang w:val="sk-SK"/>
        </w:rPr>
        <w:t xml:space="preserve"> na európske</w:t>
      </w:r>
      <w:r w:rsidR="00D343E7">
        <w:rPr>
          <w:sz w:val="28"/>
          <w:szCs w:val="28"/>
          <w:lang w:val="sk-SK"/>
        </w:rPr>
        <w:t>j úrovni trvá neprimerane dlho.</w:t>
      </w:r>
    </w:p>
    <w:p w:rsidR="00D343E7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D14B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D14BEB">
        <w:rPr>
          <w:sz w:val="28"/>
          <w:szCs w:val="28"/>
          <w:lang w:val="sk-SK"/>
        </w:rPr>
        <w:t>Tento stav nahráva tým</w:t>
      </w:r>
      <w:r>
        <w:rPr>
          <w:sz w:val="28"/>
          <w:szCs w:val="28"/>
          <w:lang w:val="sk-SK"/>
        </w:rPr>
        <w:t>,</w:t>
      </w:r>
      <w:r w:rsidRPr="00D14BEB">
        <w:rPr>
          <w:sz w:val="28"/>
          <w:szCs w:val="28"/>
          <w:lang w:val="sk-SK"/>
        </w:rPr>
        <w:t xml:space="preserve"> ktor</w:t>
      </w:r>
      <w:r>
        <w:rPr>
          <w:sz w:val="28"/>
          <w:szCs w:val="28"/>
          <w:lang w:val="sk-SK"/>
        </w:rPr>
        <w:t>í si z verejných peňazí zveľaďujú</w:t>
      </w:r>
      <w:r w:rsidRPr="00D14BEB">
        <w:rPr>
          <w:sz w:val="28"/>
          <w:szCs w:val="28"/>
          <w:lang w:val="sk-SK"/>
        </w:rPr>
        <w:t xml:space="preserve"> svoje impéria. A to aj z</w:t>
      </w:r>
      <w:r>
        <w:rPr>
          <w:sz w:val="28"/>
          <w:szCs w:val="28"/>
          <w:lang w:val="sk-SK"/>
        </w:rPr>
        <w:t>a asistencie národných orgánov.</w:t>
      </w:r>
    </w:p>
    <w:p w:rsidR="00D343E7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D14BEB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Problém je o to vypuklejší,</w:t>
      </w:r>
      <w:r w:rsidRPr="00D14BEB" w:rsidR="00001C2E">
        <w:rPr>
          <w:sz w:val="28"/>
          <w:szCs w:val="28"/>
          <w:lang w:val="sk-SK"/>
        </w:rPr>
        <w:t xml:space="preserve"> že v konflikte záujmov je vrcholová politická </w:t>
      </w:r>
      <w:r>
        <w:rPr>
          <w:sz w:val="28"/>
          <w:szCs w:val="28"/>
          <w:lang w:val="sk-SK"/>
        </w:rPr>
        <w:t>reprezentácia členského štátu EÚ</w:t>
      </w:r>
      <w:r>
        <w:rPr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a j</w:t>
      </w:r>
      <w:r w:rsidRPr="00D14BEB" w:rsidR="00001C2E">
        <w:rPr>
          <w:sz w:val="28"/>
          <w:szCs w:val="28"/>
          <w:lang w:val="sk-SK"/>
        </w:rPr>
        <w:t>a preto vítam záver</w:t>
      </w:r>
      <w:r w:rsidR="00E9426E">
        <w:rPr>
          <w:sz w:val="28"/>
          <w:szCs w:val="28"/>
          <w:lang w:val="sk-SK"/>
        </w:rPr>
        <w:t xml:space="preserve"> </w:t>
      </w:r>
      <w:r w:rsidRPr="00D14BEB" w:rsidR="00001C2E">
        <w:rPr>
          <w:sz w:val="28"/>
          <w:szCs w:val="28"/>
          <w:lang w:val="sk-SK"/>
        </w:rPr>
        <w:t xml:space="preserve">auditu Európskej komisie </w:t>
      </w:r>
      <w:r>
        <w:rPr>
          <w:sz w:val="28"/>
          <w:szCs w:val="28"/>
          <w:lang w:val="sk-SK"/>
        </w:rPr>
        <w:t>z 23.</w:t>
      </w:r>
      <w:r w:rsidRPr="00D14BEB" w:rsidR="00001C2E">
        <w:rPr>
          <w:sz w:val="28"/>
          <w:szCs w:val="28"/>
          <w:lang w:val="sk-SK"/>
        </w:rPr>
        <w:t xml:space="preserve"> apríla tohto roku</w:t>
      </w:r>
      <w:r>
        <w:rPr>
          <w:sz w:val="28"/>
          <w:szCs w:val="28"/>
          <w:lang w:val="sk-SK"/>
        </w:rPr>
        <w:t>,</w:t>
      </w:r>
      <w:r w:rsidRPr="00D14BEB" w:rsidR="00001C2E">
        <w:rPr>
          <w:sz w:val="28"/>
          <w:szCs w:val="28"/>
          <w:lang w:val="sk-SK"/>
        </w:rPr>
        <w:t xml:space="preserve"> ktorý jasne potvrdil konflikt záujmov premiéra českej republiky a navrhol nápravu vzniknutého stavu</w:t>
      </w:r>
      <w:r>
        <w:rPr>
          <w:sz w:val="28"/>
          <w:szCs w:val="28"/>
          <w:lang w:val="sk-SK"/>
        </w:rPr>
        <w:t>.</w:t>
      </w:r>
    </w:p>
    <w:p w:rsidR="00D343E7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EC4238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</w:t>
      </w:r>
      <w:r w:rsidRPr="00D14BEB" w:rsidR="00001C2E">
        <w:rPr>
          <w:sz w:val="28"/>
          <w:szCs w:val="28"/>
          <w:lang w:val="sk-SK"/>
        </w:rPr>
        <w:t>am</w:t>
      </w:r>
      <w:r w:rsidR="0081304F">
        <w:rPr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kde slabne vymožiteľnosť práva, s</w:t>
      </w:r>
      <w:r w:rsidRPr="00D14BEB" w:rsidR="00001C2E">
        <w:rPr>
          <w:sz w:val="28"/>
          <w:szCs w:val="28"/>
          <w:lang w:val="sk-SK"/>
        </w:rPr>
        <w:t>ystém dovoľuje zneužitie vere</w:t>
      </w:r>
      <w:r>
        <w:rPr>
          <w:sz w:val="28"/>
          <w:szCs w:val="28"/>
          <w:lang w:val="sk-SK"/>
        </w:rPr>
        <w:t>jných finančných prostriedkov. Dot</w:t>
      </w:r>
      <w:r w:rsidRPr="00D14BEB" w:rsidR="00001C2E">
        <w:rPr>
          <w:sz w:val="28"/>
          <w:szCs w:val="28"/>
          <w:lang w:val="sk-SK"/>
        </w:rPr>
        <w:t>ýka sa to všetkých úrovní verejnej sféry vrátane dôležitých politík</w:t>
      </w:r>
      <w:r w:rsidR="0081304F">
        <w:rPr>
          <w:sz w:val="28"/>
          <w:szCs w:val="28"/>
          <w:lang w:val="sk-SK"/>
        </w:rPr>
        <w:t>,</w:t>
      </w:r>
      <w:r w:rsidRPr="00D14BEB" w:rsidR="00001C2E">
        <w:rPr>
          <w:sz w:val="28"/>
          <w:szCs w:val="28"/>
          <w:lang w:val="sk-SK"/>
        </w:rPr>
        <w:t xml:space="preserve"> agrárnej </w:t>
      </w:r>
      <w:r>
        <w:rPr>
          <w:sz w:val="28"/>
          <w:szCs w:val="28"/>
          <w:lang w:val="sk-SK"/>
        </w:rPr>
        <w:t>a ko</w:t>
      </w:r>
      <w:r w:rsidR="0081304F">
        <w:rPr>
          <w:sz w:val="28"/>
          <w:szCs w:val="28"/>
          <w:lang w:val="sk-SK"/>
        </w:rPr>
        <w:t>h</w:t>
      </w:r>
      <w:r>
        <w:rPr>
          <w:sz w:val="28"/>
          <w:szCs w:val="28"/>
          <w:lang w:val="sk-SK"/>
        </w:rPr>
        <w:t>éznej.</w:t>
      </w:r>
    </w:p>
    <w:p w:rsidR="00D343E7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EC4238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D14BEB">
        <w:rPr>
          <w:sz w:val="28"/>
          <w:szCs w:val="28"/>
          <w:lang w:val="sk-SK"/>
        </w:rPr>
        <w:t>Potrebujeme zaviesť efektívny systém kontroly odolný voči zneužitiu zo strany politických špičiek. Potrebujeme stanoviť rovnakú právnu definíciu a jednotný výkla</w:t>
      </w:r>
      <w:r w:rsidR="00D14BEB">
        <w:rPr>
          <w:sz w:val="28"/>
          <w:szCs w:val="28"/>
          <w:lang w:val="sk-SK"/>
        </w:rPr>
        <w:t>d konfliktu záujmov na úrovni EÚ</w:t>
      </w:r>
      <w:r>
        <w:rPr>
          <w:sz w:val="28"/>
          <w:szCs w:val="28"/>
          <w:lang w:val="sk-SK"/>
        </w:rPr>
        <w:t xml:space="preserve"> a členských štátov.</w:t>
      </w:r>
    </w:p>
    <w:p w:rsidR="00D343E7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EC4238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D14BEB">
        <w:rPr>
          <w:sz w:val="28"/>
          <w:szCs w:val="28"/>
          <w:lang w:val="sk-SK"/>
        </w:rPr>
        <w:t>V s</w:t>
      </w:r>
      <w:r w:rsidR="00D14BEB">
        <w:rPr>
          <w:sz w:val="28"/>
          <w:szCs w:val="28"/>
          <w:lang w:val="sk-SK"/>
        </w:rPr>
        <w:t>účasnosti žiadna právna norma EÚ</w:t>
      </w:r>
      <w:r w:rsidRPr="00D14BEB">
        <w:rPr>
          <w:sz w:val="28"/>
          <w:szCs w:val="28"/>
          <w:lang w:val="sk-SK"/>
        </w:rPr>
        <w:t xml:space="preserve"> nenúti členské štáty zverejňovať mená konečných prijímateľov dotácií. </w:t>
      </w:r>
      <w:r>
        <w:rPr>
          <w:sz w:val="28"/>
          <w:szCs w:val="28"/>
          <w:lang w:val="sk-SK"/>
        </w:rPr>
        <w:t>Teória hier je v tomto neúprosná</w:t>
      </w:r>
      <w:r w:rsidRPr="00D14BEB">
        <w:rPr>
          <w:sz w:val="28"/>
          <w:szCs w:val="28"/>
          <w:lang w:val="sk-SK"/>
        </w:rPr>
        <w:t xml:space="preserve">. V každom </w:t>
      </w:r>
      <w:r w:rsidR="00D14BEB">
        <w:rPr>
          <w:sz w:val="28"/>
          <w:szCs w:val="28"/>
          <w:lang w:val="sk-SK"/>
        </w:rPr>
        <w:t>kŕdli holubíc</w:t>
      </w:r>
      <w:r w:rsidRPr="00D14BEB">
        <w:rPr>
          <w:sz w:val="28"/>
          <w:szCs w:val="28"/>
          <w:lang w:val="sk-SK"/>
        </w:rPr>
        <w:t xml:space="preserve"> sa skôr či neskôr nájde jastrab</w:t>
      </w:r>
      <w:r w:rsidR="00D14BEB">
        <w:rPr>
          <w:sz w:val="28"/>
          <w:szCs w:val="28"/>
          <w:lang w:val="sk-SK"/>
        </w:rPr>
        <w:t>,</w:t>
      </w:r>
      <w:r w:rsidRPr="00D14BEB">
        <w:rPr>
          <w:sz w:val="28"/>
          <w:szCs w:val="28"/>
          <w:lang w:val="sk-SK"/>
        </w:rPr>
        <w:t xml:space="preserve"> ktorý takéto prav</w:t>
      </w:r>
      <w:r>
        <w:rPr>
          <w:sz w:val="28"/>
          <w:szCs w:val="28"/>
          <w:lang w:val="sk-SK"/>
        </w:rPr>
        <w:t>idlá zneužije vo svoj prospech.</w:t>
      </w:r>
    </w:p>
    <w:p w:rsidR="00D343E7" w:rsidP="00C74338">
      <w:pPr>
        <w:spacing w:line="480" w:lineRule="auto"/>
        <w:jc w:val="both"/>
        <w:rPr>
          <w:sz w:val="28"/>
          <w:szCs w:val="28"/>
          <w:lang w:val="sk-SK"/>
        </w:rPr>
      </w:pPr>
      <w:bookmarkStart w:id="0" w:name="_GoBack"/>
      <w:bookmarkEnd w:id="0"/>
    </w:p>
    <w:p w:rsidR="00B0137B" w:rsidRPr="00EC4238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D14BEB">
        <w:rPr>
          <w:sz w:val="28"/>
          <w:szCs w:val="28"/>
          <w:lang w:val="sk-SK"/>
        </w:rPr>
        <w:t>Systém</w:t>
      </w:r>
      <w:r w:rsidR="00EC4238">
        <w:rPr>
          <w:sz w:val="28"/>
          <w:szCs w:val="28"/>
          <w:lang w:val="sk-SK"/>
        </w:rPr>
        <w:t>,</w:t>
      </w:r>
      <w:r w:rsidRPr="00D14BEB">
        <w:rPr>
          <w:sz w:val="28"/>
          <w:szCs w:val="28"/>
          <w:lang w:val="sk-SK"/>
        </w:rPr>
        <w:t xml:space="preserve"> ktorý skutočne chráni verejné financie</w:t>
      </w:r>
      <w:r w:rsidR="00EC4238">
        <w:rPr>
          <w:sz w:val="28"/>
          <w:szCs w:val="28"/>
          <w:lang w:val="sk-SK"/>
        </w:rPr>
        <w:t>, takéto zneužitie nepripustí.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2021-05-20T07:13:00Z</dcterms:created>
  <dcterms:modified xsi:type="dcterms:W3CDTF">2021-05-20T07:13:00Z</dcterms:modified>
</cp:coreProperties>
</file>