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15.9.0.0 -->
  <w:body>
    <w:p>
      <w:pPr>
        <w:ind w:right="-716"/>
        <w:rPr>
          <w:b/>
          <w:i/>
        </w:rPr>
      </w:pPr>
      <w:r>
        <w:rPr>
          <w:b/>
          <w:caps/>
          <w:sz w:val="16"/>
        </w:rPr>
        <w:t>TABLING SERVICE</w:t>
      </w:r>
      <w:r>
        <w:rPr>
          <w:smallCaps/>
          <w:sz w:val="16"/>
        </w:rPr>
        <w:tab/>
      </w:r>
      <w:r>
        <w:rPr>
          <w:smallCaps/>
          <w:sz w:val="16"/>
        </w:rPr>
        <w:tab/>
      </w:r>
      <w:r>
        <w:rPr>
          <w:smallCaps/>
          <w:sz w:val="16"/>
        </w:rPr>
        <w:tab/>
      </w:r>
      <w:r>
        <w:rPr>
          <w:smallCaps/>
          <w:sz w:val="16"/>
        </w:rPr>
        <w:tab/>
      </w:r>
      <w:r>
        <w:rPr>
          <w:smallCaps/>
          <w:sz w:val="16"/>
        </w:rPr>
        <w:tab/>
      </w:r>
      <w:r>
        <w:rPr>
          <w:smallCaps/>
          <w:sz w:val="16"/>
        </w:rPr>
        <w:tab/>
      </w:r>
      <w:r>
        <w:rPr>
          <w:smallCaps/>
          <w:sz w:val="16"/>
        </w:rPr>
        <w:tab/>
      </w:r>
      <w:r>
        <w:rPr>
          <w:smallCaps/>
          <w:sz w:val="16"/>
        </w:rPr>
        <w:tab/>
      </w:r>
      <w:r>
        <w:rPr>
          <w:smallCaps/>
          <w:sz w:val="16"/>
        </w:rPr>
        <w:tab/>
      </w:r>
      <w:r>
        <w:rPr>
          <w:b/>
          <w:i/>
        </w:rPr>
        <w:t>INDICATIVE VOTING LIST</w:t>
      </w:r>
    </w:p>
    <w:p/>
    <w:p>
      <w:pPr>
        <w:jc w:val="center"/>
      </w:pPr>
      <w:r>
        <w:rPr>
          <w:b/>
          <w:i/>
          <w:smallCaps/>
          <w:sz w:val="40"/>
        </w:rPr>
        <w:t>FINAL VERSION</w:t>
      </w:r>
    </w:p>
    <w:p/>
    <w:p>
      <w:r>
        <w:tab/>
      </w:r>
      <w:r>
        <w:rPr>
          <w:i/>
          <w:color w:val="111111"/>
          <w:sz w:val="24"/>
        </w:rPr>
        <w:t>Report:</w:t>
      </w:r>
      <w:r>
        <w:tab/>
      </w:r>
      <w:r>
        <w:rPr>
          <w:color w:val="111111"/>
          <w:sz w:val="24"/>
        </w:rPr>
        <w:t>ROOSE</w:t>
      </w:r>
      <w:r>
        <w:tab/>
        <w:tab/>
      </w:r>
      <w:r>
        <w:rPr>
          <w:color w:val="111111"/>
          <w:sz w:val="24"/>
        </w:rPr>
        <w:t>(A9-0264/2020)</w:t>
      </w:r>
      <w:r>
        <w:tab/>
      </w:r>
      <w:r>
        <w:rPr>
          <w:b/>
          <w:color w:val="111111"/>
          <w:sz w:val="24"/>
        </w:rPr>
        <w:t>[init.]</w:t>
      </w:r>
    </w:p>
    <w:p>
      <w:r>
        <w:tab/>
      </w:r>
      <w:r>
        <w:tab/>
      </w:r>
      <w:r>
        <w:tab/>
      </w:r>
      <w:r>
        <w:rPr>
          <w:color w:val="111111"/>
          <w:sz w:val="24"/>
        </w:rPr>
        <w:t>More fish in the seas?</w:t>
      </w:r>
    </w:p>
    <w:p>
      <w:pPr>
        <w:rPr>
          <w:color w:val="111111"/>
          <w:sz w:val="24"/>
        </w:rPr>
      </w:pPr>
    </w:p>
    <w:p>
      <w:r>
        <w:tab/>
      </w:r>
      <w:r>
        <w:rPr>
          <w:i/>
          <w:color w:val="111111"/>
          <w:sz w:val="24"/>
        </w:rPr>
        <w:t>Committee:</w:t>
      </w:r>
      <w:r>
        <w:tab/>
      </w:r>
      <w:r>
        <w:rPr>
          <w:color w:val="111111"/>
          <w:sz w:val="24"/>
        </w:rPr>
        <w:t>Committee on Fisheries</w:t>
      </w:r>
    </w:p>
    <w:p>
      <w:pPr>
        <w:rPr>
          <w:color w:val="111111"/>
          <w:sz w:val="24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bottom w:w="0" w:type="dxa"/>
        </w:tblCellMar>
        <w:tblLook w:val="0000"/>
      </w:tblPr>
      <w:tblGrid>
        <w:gridCol w:w="2636"/>
        <w:gridCol w:w="992"/>
        <w:gridCol w:w="1968"/>
        <w:gridCol w:w="1250"/>
        <w:gridCol w:w="709"/>
        <w:gridCol w:w="3126"/>
      </w:tblGrid>
      <w:tr>
        <w:tblPrEx>
          <w:tblW w:w="0" w:type="auto"/>
          <w:tblInd w:w="108" w:type="dxa"/>
          <w:tblBorders>
            <w:top w:val="single" w:sz="12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bottom w:w="0" w:type="dxa"/>
          </w:tblCellMar>
          <w:tblLook w:val="0000"/>
        </w:tblPrEx>
        <w:trPr>
          <w:tblHeader/>
        </w:trPr>
        <w:tc>
          <w:tcPr>
            <w:tcW w:w="2636" w:type="dxa"/>
            <w:tcBorders>
              <w:bottom w:val="single" w:sz="4" w:space="0" w:color="auto"/>
            </w:tcBorders>
            <w:shd w:val="pct25" w:color="auto" w:fill="FFFFFF"/>
          </w:tcPr>
          <w:p>
            <w:pPr>
              <w:spacing w:before="120" w:after="120"/>
              <w:jc w:val="center"/>
              <w:rPr>
                <w:smallCaps/>
                <w:sz w:val="24"/>
              </w:rPr>
            </w:pPr>
            <w:r>
              <w:rPr>
                <w:sz w:val="22"/>
              </w:rPr>
              <w:t>Subject of the amendment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pct25" w:color="auto" w:fill="FFFFFF"/>
          </w:tcPr>
          <w:p>
            <w:pPr>
              <w:spacing w:before="120" w:after="120"/>
              <w:jc w:val="center"/>
              <w:rPr>
                <w:smallCaps/>
                <w:sz w:val="24"/>
              </w:rPr>
            </w:pPr>
            <w:r>
              <w:rPr>
                <w:sz w:val="22"/>
              </w:rPr>
              <w:t>Am No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shd w:val="pct25" w:color="auto" w:fill="FFFFFF"/>
          </w:tcPr>
          <w:p>
            <w:pPr>
              <w:spacing w:before="120" w:after="120"/>
              <w:jc w:val="center"/>
              <w:rPr>
                <w:smallCaps/>
                <w:sz w:val="24"/>
              </w:rPr>
            </w:pPr>
            <w:r>
              <w:rPr>
                <w:sz w:val="22"/>
              </w:rPr>
              <w:t>Author</w:t>
            </w:r>
          </w:p>
        </w:tc>
        <w:tc>
          <w:tcPr>
            <w:tcW w:w="1250" w:type="dxa"/>
            <w:tcBorders>
              <w:bottom w:val="single" w:sz="4" w:space="0" w:color="auto"/>
            </w:tcBorders>
            <w:shd w:val="pct25" w:color="auto" w:fill="FFFFFF"/>
          </w:tcPr>
          <w:p>
            <w:pPr>
              <w:spacing w:before="120" w:after="120"/>
              <w:jc w:val="center"/>
              <w:rPr>
                <w:smallCaps/>
                <w:sz w:val="24"/>
              </w:rPr>
            </w:pPr>
            <w:r>
              <w:rPr>
                <w:sz w:val="22"/>
              </w:rPr>
              <w:t>RCV etc.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pct25" w:color="auto" w:fill="FFFFFF"/>
          </w:tcPr>
          <w:p>
            <w:pPr>
              <w:spacing w:before="120" w:after="120"/>
              <w:jc w:val="center"/>
              <w:rPr>
                <w:smallCaps/>
                <w:sz w:val="24"/>
              </w:rPr>
            </w:pPr>
            <w:r>
              <w:rPr>
                <w:sz w:val="22"/>
              </w:rPr>
              <w:t>Vote</w:t>
            </w:r>
          </w:p>
        </w:tc>
        <w:tc>
          <w:tcPr>
            <w:tcBorders>
              <w:bottom w:val="single" w:sz="4" w:space="0" w:color="auto"/>
            </w:tcBorders>
            <w:shd w:val="pct25" w:color="auto" w:fill="FFFFFF"/>
          </w:tcPr>
          <w:p>
            <w:pPr>
              <w:spacing w:before="120" w:after="120"/>
              <w:jc w:val="center"/>
              <w:rPr>
                <w:smallCaps/>
                <w:sz w:val="24"/>
              </w:rPr>
            </w:pPr>
            <w:r>
              <w:rPr>
                <w:sz w:val="22"/>
              </w:rPr>
              <w:t>Remarks</w:t>
            </w: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§ 8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4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MEPs</w:t>
            </w:r>
          </w:p>
        </w:tc>
        <w:tc>
          <w:tcPr/>
          <w:p>
            <w:pPr>
              <w:spacing w:before="120" w:after="120"/>
            </w:pPr>
            <w:r>
              <w:rPr>
                <w:sz w:val="22"/>
              </w:rPr>
              <w:t>RCV</w:t>
            </w: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§ 20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5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MEPs</w:t>
            </w:r>
          </w:p>
        </w:tc>
        <w:tc>
          <w:tcPr/>
          <w:p>
            <w:pPr>
              <w:spacing w:before="120" w:after="120"/>
            </w:pPr>
            <w:r>
              <w:rPr>
                <w:sz w:val="22"/>
              </w:rPr>
              <w:t>RCV</w:t>
            </w: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After § 20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6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MEPs</w:t>
            </w:r>
          </w:p>
        </w:tc>
        <w:tc>
          <w:tcPr/>
          <w:p>
            <w:pPr>
              <w:spacing w:before="120" w:after="120"/>
            </w:pPr>
            <w:r>
              <w:rPr>
                <w:sz w:val="22"/>
              </w:rPr>
              <w:t>RCV</w:t>
            </w: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§ 21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7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MEPs</w:t>
            </w:r>
          </w:p>
        </w:tc>
        <w:tc>
          <w:tcPr/>
          <w:p>
            <w:pPr>
              <w:spacing w:before="120" w:after="120"/>
            </w:pPr>
            <w:r>
              <w:rPr>
                <w:sz w:val="22"/>
              </w:rPr>
              <w:t>RCV</w:t>
            </w: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After § 40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1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MEPs</w:t>
            </w:r>
          </w:p>
        </w:tc>
        <w:tc>
          <w:tcPr/>
          <w:p>
            <w:pPr>
              <w:spacing w:before="120" w:after="120"/>
            </w:pPr>
            <w:r>
              <w:rPr>
                <w:sz w:val="22"/>
              </w:rPr>
              <w:t>RCV</w:t>
            </w: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After § 41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2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MEPs</w:t>
            </w:r>
          </w:p>
        </w:tc>
        <w:tc>
          <w:tcPr/>
          <w:p>
            <w:pPr>
              <w:spacing w:before="120" w:after="120"/>
            </w:pPr>
            <w:r>
              <w:rPr>
                <w:sz w:val="22"/>
              </w:rPr>
              <w:t>RCV</w:t>
            </w: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After recital M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3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MEPs</w:t>
            </w:r>
          </w:p>
        </w:tc>
        <w:tc>
          <w:tcPr/>
          <w:p>
            <w:pPr>
              <w:spacing w:before="120" w:after="120"/>
            </w:pPr>
            <w:r>
              <w:rPr>
                <w:sz w:val="22"/>
              </w:rPr>
              <w:t>RCV</w:t>
            </w: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tcW w:w="0" w:type="auto"/>
            <w:vMerge w:val="restart"/>
          </w:tcPr>
          <w:p>
            <w:pPr>
              <w:spacing w:before="120" w:after="120"/>
              <w:jc w:val="center"/>
            </w:pPr>
            <w:r>
              <w:rPr>
                <w:sz w:val="22"/>
              </w:rPr>
              <w:t>Recital P</w:t>
            </w:r>
          </w:p>
        </w:tc>
        <w:tc>
          <w:tcPr>
            <w:tcW w:w="0" w:type="auto"/>
            <w:vMerge w:val="restart"/>
          </w:tcPr>
          <w:p>
            <w:pPr>
              <w:spacing w:before="120" w:after="120"/>
              <w:jc w:val="center"/>
            </w:pPr>
            <w:r>
              <w:rPr>
                <w:sz w:val="22"/>
              </w:rPr>
              <w:t>§</w:t>
            </w:r>
          </w:p>
        </w:tc>
        <w:tc>
          <w:tcPr>
            <w:tcW w:w="0" w:type="auto"/>
            <w:vMerge w:val="restart"/>
          </w:tcPr>
          <w:p>
            <w:pPr>
              <w:spacing w:before="120" w:after="120"/>
              <w:jc w:val="center"/>
            </w:pPr>
            <w:r>
              <w:rPr>
                <w:b/>
                <w:i/>
                <w:sz w:val="22"/>
              </w:rPr>
              <w:t>original text</w:t>
            </w:r>
          </w:p>
        </w:tc>
        <w:tc>
          <w:tcPr/>
          <w:p>
            <w:pPr>
              <w:spacing w:before="120" w:after="120"/>
            </w:pPr>
            <w:r>
              <w:rPr>
                <w:sz w:val="22"/>
              </w:rPr>
              <w:t>split</w:t>
            </w: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vMerge/>
          </w:tcPr>
          <w:p>
            <w:pPr>
              <w:spacing w:before="120" w:after="120"/>
              <w:jc w:val="center"/>
            </w:pPr>
          </w:p>
        </w:tc>
        <w:tc>
          <w:tcPr>
            <w:vMerge/>
          </w:tcPr>
          <w:p>
            <w:pPr>
              <w:spacing w:before="120" w:after="120"/>
              <w:jc w:val="center"/>
            </w:pPr>
          </w:p>
        </w:tc>
        <w:tc>
          <w:tcPr>
            <w:vMerge/>
          </w:tcPr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</w:pPr>
            <w:r>
              <w:rPr>
                <w:sz w:val="22"/>
              </w:rPr>
              <w:t>1 RCV</w:t>
            </w: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vMerge/>
          </w:tcPr>
          <w:p>
            <w:pPr>
              <w:spacing w:before="120" w:after="120"/>
              <w:jc w:val="center"/>
            </w:pPr>
          </w:p>
        </w:tc>
        <w:tc>
          <w:tcPr>
            <w:vMerge/>
          </w:tcPr>
          <w:p>
            <w:pPr>
              <w:spacing w:before="120" w:after="120"/>
              <w:jc w:val="center"/>
            </w:pPr>
          </w:p>
        </w:tc>
        <w:tc>
          <w:tcPr>
            <w:vMerge/>
          </w:tcPr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</w:pPr>
            <w:r>
              <w:rPr>
                <w:sz w:val="22"/>
              </w:rPr>
              <w:t>2 RCV</w:t>
            </w: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gridSpan w:val="3"/>
          </w:tcPr>
          <w:p>
            <w:pPr>
              <w:spacing w:before="120" w:after="120"/>
              <w:jc w:val="center"/>
            </w:pPr>
            <w:r>
              <w:rPr>
                <w:b/>
                <w:i/>
                <w:sz w:val="22"/>
              </w:rPr>
              <w:t>vote: resolution (as a whole)</w:t>
            </w:r>
          </w:p>
        </w:tc>
        <w:tc>
          <w:tcPr/>
          <w:p>
            <w:pPr>
              <w:spacing w:before="120" w:after="120"/>
            </w:pPr>
            <w:r>
              <w:rPr>
                <w:sz w:val="22"/>
              </w:rPr>
              <w:t>RCV</w:t>
            </w: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</w:tr>
    </w:tbl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rPr>
          <w:b/>
          <w:sz w:val="22"/>
        </w:rPr>
        <w:t>All votes are taken by roll-call.</w:t>
      </w: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rPr>
          <w:i/>
          <w:sz w:val="22"/>
          <w:u w:val="single"/>
        </w:rPr>
        <w:t>Requests for split votes</w:t>
      </w: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rPr>
          <w:b/>
          <w:sz w:val="22"/>
        </w:rPr>
        <w:t>MEPs:</w:t>
      </w:r>
      <w:r>
        <w:t xml:space="preserve"> </w:t>
      </w: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rPr>
          <w:sz w:val="22"/>
        </w:rPr>
        <w:t>Recital P</w:t>
      </w: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rPr>
          <w:i/>
          <w:sz w:val="22"/>
        </w:rPr>
        <w:t>1st part:</w:t>
      </w:r>
      <w:r>
        <w:tab/>
      </w:r>
      <w:r>
        <w:tab/>
      </w:r>
      <w:r>
        <w:rPr>
          <w:sz w:val="22"/>
        </w:rPr>
        <w:t>“whereas the IUCN ... 30% of the ocean”</w:t>
      </w: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rPr>
          <w:i/>
          <w:sz w:val="22"/>
        </w:rPr>
        <w:t>2nd part:</w:t>
      </w:r>
      <w:r>
        <w:tab/>
      </w:r>
      <w:r>
        <w:tab/>
      </w:r>
      <w:r>
        <w:rPr>
          <w:sz w:val="22"/>
        </w:rPr>
        <w:t>“without considering the socio-economic consequences;”</w:t>
      </w: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</w:p>
    <w:p>
      <w:pPr>
        <w:rPr>
          <w:color w:val="111111"/>
        </w:rPr>
      </w:pPr>
    </w:p>
    <w:p>
      <w:pPr>
        <w:rPr>
          <w:color w:val="111111"/>
        </w:rPr>
      </w:pPr>
    </w:p>
    <w:sectPr>
      <w:footerReference w:type="even" r:id="rId4"/>
      <w:footerReference w:type="default" r:id="rId5"/>
      <w:pgSz w:w="11907" w:h="16840" w:code="9"/>
      <w:pgMar w:top="567" w:right="567" w:bottom="567" w:left="567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framePr w:wrap="around" w:vAnchor="text" w:hAnchor="margin" w:xAlign="center" w:y="1"/>
      <w:rPr>
        <w:rStyle w:val="DefaultParagraphFont"/>
      </w:rPr>
    </w:pPr>
    <w:r>
      <w:rPr>
        <w:rStyle w:val="DefaultParagraphFont"/>
      </w:rPr>
      <w:fldChar w:fldCharType="begin"/>
    </w:r>
    <w:r>
      <w:rPr>
        <w:rStyle w:val="DefaultParagraphFont"/>
      </w:rPr>
      <w:instrText xml:space="preserve">PAGE  </w:instrText>
    </w:r>
    <w:r>
      <w:rPr>
        <w:rStyle w:val="DefaultParagraphFont"/>
      </w:rPr>
      <w:fldChar w:fldCharType="separate"/>
    </w:r>
    <w:r>
      <w:rPr>
        <w:rStyle w:val="DefaultParagraphFont"/>
      </w:rPr>
      <w:fldChar w:fldCharType="end"/>
    </w:r>
  </w:p>
  <w:p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framePr w:wrap="around" w:vAnchor="text" w:hAnchor="margin" w:xAlign="center" w:y="1"/>
      <w:rPr>
        <w:rStyle w:val="DefaultParagraphFont"/>
      </w:rPr>
    </w:pPr>
    <w:r>
      <w:rPr>
        <w:rStyle w:val="DefaultParagraphFont"/>
      </w:rPr>
      <w:fldChar w:fldCharType="begin"/>
    </w:r>
    <w:r>
      <w:rPr>
        <w:rStyle w:val="DefaultParagraphFont"/>
      </w:rPr>
      <w:instrText xml:space="preserve">PAGE  </w:instrText>
    </w:r>
    <w:r>
      <w:rPr>
        <w:rStyle w:val="DefaultParagraphFont"/>
      </w:rPr>
      <w:fldChar w:fldCharType="separate"/>
    </w:r>
    <w:r>
      <w:rPr>
        <w:rStyle w:val="DefaultParagraphFont"/>
        <w:noProof/>
      </w:rPr>
      <w:t>1</w:t>
    </w:r>
    <w:r>
      <w:rPr>
        <w:rStyle w:val="DefaultParagraphFont"/>
      </w:rPr>
      <w:fldChar w:fldCharType="end"/>
    </w:r>
  </w:p>
  <w:p/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splitPgBreakAndParaMark/>
  </w:compat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2"/>
      <w:szCs w:val="22"/>
      <w:lang w:val="en-GB" w:eastAsia="en-GB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