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0" w:rsidRDefault="00F85BFD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B64E0">
        <w:rPr>
          <w:b/>
          <w:sz w:val="28"/>
          <w:szCs w:val="28"/>
          <w:lang w:val="it-IT"/>
        </w:rPr>
        <w:t xml:space="preserve">Simona Bonafè, </w:t>
      </w:r>
      <w:r w:rsidR="00731F33">
        <w:rPr>
          <w:i/>
          <w:sz w:val="28"/>
          <w:szCs w:val="28"/>
          <w:lang w:val="it-IT"/>
        </w:rPr>
        <w:t>relatrice</w:t>
      </w:r>
      <w:r w:rsidRPr="008B64E0">
        <w:rPr>
          <w:b/>
          <w:sz w:val="28"/>
          <w:szCs w:val="28"/>
          <w:lang w:val="it-IT"/>
        </w:rPr>
        <w:t>.</w:t>
      </w:r>
      <w:r w:rsidRPr="008B64E0">
        <w:rPr>
          <w:sz w:val="28"/>
          <w:szCs w:val="28"/>
          <w:lang w:val="it-IT"/>
        </w:rPr>
        <w:t xml:space="preserve"> </w:t>
      </w:r>
      <w:r w:rsidRPr="008B64E0">
        <w:rPr>
          <w:rFonts w:cs="Calibri"/>
          <w:sz w:val="28"/>
          <w:szCs w:val="28"/>
          <w:lang w:val="it-IT"/>
        </w:rPr>
        <w:t>–</w:t>
      </w:r>
      <w:r w:rsidRPr="008B64E0">
        <w:rPr>
          <w:sz w:val="28"/>
          <w:szCs w:val="28"/>
          <w:lang w:val="it-IT"/>
        </w:rPr>
        <w:t xml:space="preserve"> </w:t>
      </w:r>
      <w:r w:rsidR="008B64E0">
        <w:rPr>
          <w:sz w:val="28"/>
          <w:szCs w:val="28"/>
          <w:lang w:val="it-IT"/>
        </w:rPr>
        <w:t>Signora Presidente, onorevoli colleghi, io in questo minuto che mi manca v</w:t>
      </w:r>
      <w:r w:rsidRPr="008B64E0">
        <w:rPr>
          <w:sz w:val="28"/>
          <w:szCs w:val="28"/>
          <w:lang w:val="it-IT"/>
        </w:rPr>
        <w:t xml:space="preserve">oglio innanzitutto ringraziare tutti i colleghi che sono intervenuti oggi </w:t>
      </w:r>
      <w:r w:rsidR="008B64E0">
        <w:rPr>
          <w:sz w:val="28"/>
          <w:szCs w:val="28"/>
          <w:lang w:val="it-IT"/>
        </w:rPr>
        <w:t>in questa bella discussione</w:t>
      </w:r>
      <w:r w:rsidR="00731F33">
        <w:rPr>
          <w:sz w:val="28"/>
          <w:szCs w:val="28"/>
          <w:lang w:val="it-IT"/>
        </w:rPr>
        <w:t>;</w:t>
      </w:r>
      <w:r w:rsidR="008B64E0">
        <w:rPr>
          <w:sz w:val="28"/>
          <w:szCs w:val="28"/>
          <w:lang w:val="it-IT"/>
        </w:rPr>
        <w:t xml:space="preserve"> mi </w:t>
      </w:r>
      <w:r w:rsidRPr="008B64E0">
        <w:rPr>
          <w:sz w:val="28"/>
          <w:szCs w:val="28"/>
          <w:lang w:val="it-IT"/>
        </w:rPr>
        <w:t>facc</w:t>
      </w:r>
      <w:r w:rsidR="008B64E0">
        <w:rPr>
          <w:sz w:val="28"/>
          <w:szCs w:val="28"/>
          <w:lang w:val="it-IT"/>
        </w:rPr>
        <w:t>ia</w:t>
      </w:r>
      <w:r w:rsidRPr="008B64E0">
        <w:rPr>
          <w:sz w:val="28"/>
          <w:szCs w:val="28"/>
          <w:lang w:val="it-IT"/>
        </w:rPr>
        <w:t xml:space="preserve"> anche ringraziare il commissario </w:t>
      </w:r>
      <w:r w:rsidR="008B64E0" w:rsidRPr="008B64E0">
        <w:rPr>
          <w:sz w:val="28"/>
          <w:szCs w:val="28"/>
          <w:lang w:val="it-IT"/>
        </w:rPr>
        <w:t>Sinkevičius</w:t>
      </w:r>
      <w:r w:rsidRPr="008B64E0">
        <w:rPr>
          <w:sz w:val="28"/>
          <w:szCs w:val="28"/>
          <w:lang w:val="it-IT"/>
        </w:rPr>
        <w:t xml:space="preserve"> per il supporto di questi mesi</w:t>
      </w:r>
      <w:r w:rsidR="008B64E0">
        <w:rPr>
          <w:sz w:val="28"/>
          <w:szCs w:val="28"/>
          <w:lang w:val="it-IT"/>
        </w:rPr>
        <w:t xml:space="preserve"> e,</w:t>
      </w:r>
      <w:r w:rsidRPr="008B64E0">
        <w:rPr>
          <w:sz w:val="28"/>
          <w:szCs w:val="28"/>
          <w:lang w:val="it-IT"/>
        </w:rPr>
        <w:t xml:space="preserve"> soprattutto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voglio ringraziare i relat</w:t>
      </w:r>
      <w:r w:rsidR="008B64E0">
        <w:rPr>
          <w:sz w:val="28"/>
          <w:szCs w:val="28"/>
          <w:lang w:val="it-IT"/>
        </w:rPr>
        <w:t>ori delle commissioni IMCO, TRAN e ITRE per</w:t>
      </w:r>
      <w:r w:rsidRPr="008B64E0">
        <w:rPr>
          <w:sz w:val="28"/>
          <w:szCs w:val="28"/>
          <w:lang w:val="it-IT"/>
        </w:rPr>
        <w:t xml:space="preserve"> il lavoro c</w:t>
      </w:r>
      <w:r w:rsidR="008B64E0">
        <w:rPr>
          <w:sz w:val="28"/>
          <w:szCs w:val="28"/>
          <w:lang w:val="it-IT"/>
        </w:rPr>
        <w:t>omune e i relatori ombra della commissione ENVI,</w:t>
      </w:r>
      <w:r w:rsidRPr="008B64E0">
        <w:rPr>
          <w:sz w:val="28"/>
          <w:szCs w:val="28"/>
          <w:lang w:val="it-IT"/>
        </w:rPr>
        <w:t xml:space="preserve"> con cui c'è </w:t>
      </w:r>
      <w:r w:rsidR="008B64E0">
        <w:rPr>
          <w:sz w:val="28"/>
          <w:szCs w:val="28"/>
          <w:lang w:val="it-IT"/>
        </w:rPr>
        <w:t>stata un'ottima collaborazione.</w:t>
      </w:r>
    </w:p>
    <w:p w:rsidR="008B64E0" w:rsidRDefault="008B64E0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8B64E0" w:rsidRDefault="00F85BFD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B64E0">
        <w:rPr>
          <w:sz w:val="28"/>
          <w:szCs w:val="28"/>
          <w:lang w:val="it-IT"/>
        </w:rPr>
        <w:t>L'avete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l'abbiamo detto tutti</w:t>
      </w:r>
      <w:r w:rsidR="00731F33">
        <w:rPr>
          <w:sz w:val="28"/>
          <w:szCs w:val="28"/>
          <w:lang w:val="it-IT"/>
        </w:rPr>
        <w:t>:</w:t>
      </w:r>
      <w:r w:rsidRPr="008B64E0">
        <w:rPr>
          <w:sz w:val="28"/>
          <w:szCs w:val="28"/>
          <w:lang w:val="it-IT"/>
        </w:rPr>
        <w:t xml:space="preserve"> questo regolamento era già importante prima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per i motivi che sono stati ben spiegati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ma la guerra in Ucraina ha reso questo dossier ancora più strategico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perché abbiamo capito quanto sia importante puntare sull'autonomia produttiva dei settori centrali per il nostro sviluppo </w:t>
      </w:r>
      <w:r w:rsidR="008B64E0">
        <w:rPr>
          <w:sz w:val="28"/>
          <w:szCs w:val="28"/>
          <w:lang w:val="it-IT"/>
        </w:rPr>
        <w:t xml:space="preserve">e </w:t>
      </w:r>
      <w:r w:rsidRPr="008B64E0">
        <w:rPr>
          <w:sz w:val="28"/>
          <w:szCs w:val="28"/>
          <w:lang w:val="it-IT"/>
        </w:rPr>
        <w:t>per la nostra competitività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penso all'energia ma penso anche alle batterie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visto che peraltro questi due settori sono molto legati fra di loro</w:t>
      </w:r>
      <w:r w:rsidR="008B64E0">
        <w:rPr>
          <w:sz w:val="28"/>
          <w:szCs w:val="28"/>
          <w:lang w:val="it-IT"/>
        </w:rPr>
        <w:t>.</w:t>
      </w:r>
    </w:p>
    <w:p w:rsidR="008B64E0" w:rsidRDefault="008B64E0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8B64E0" w:rsidRDefault="008B64E0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 a</w:t>
      </w:r>
      <w:r w:rsidR="00F85BFD" w:rsidRPr="008B64E0">
        <w:rPr>
          <w:sz w:val="28"/>
          <w:szCs w:val="28"/>
          <w:lang w:val="it-IT"/>
        </w:rPr>
        <w:t>llora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ai pochi colleghi che hanno chiesto </w:t>
      </w:r>
      <w:r>
        <w:rPr>
          <w:sz w:val="28"/>
          <w:szCs w:val="28"/>
          <w:lang w:val="it-IT"/>
        </w:rPr>
        <w:t xml:space="preserve">qui </w:t>
      </w:r>
      <w:r w:rsidR="00F85BFD" w:rsidRPr="008B64E0">
        <w:rPr>
          <w:sz w:val="28"/>
          <w:szCs w:val="28"/>
          <w:lang w:val="it-IT"/>
        </w:rPr>
        <w:t>di fermarci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di abbandonare la transizione ecologica</w:t>
      </w:r>
      <w:r>
        <w:rPr>
          <w:sz w:val="28"/>
          <w:szCs w:val="28"/>
          <w:lang w:val="it-IT"/>
        </w:rPr>
        <w:t>, la transizione energetica, s</w:t>
      </w:r>
      <w:r w:rsidR="00F85BFD" w:rsidRPr="008B64E0">
        <w:rPr>
          <w:sz w:val="28"/>
          <w:szCs w:val="28"/>
          <w:lang w:val="it-IT"/>
        </w:rPr>
        <w:t>olo perché non abbiamo materie prime da utilizzare per le batterie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e quindi per l</w:t>
      </w:r>
      <w:r>
        <w:rPr>
          <w:sz w:val="28"/>
          <w:szCs w:val="28"/>
          <w:lang w:val="it-IT"/>
        </w:rPr>
        <w:t>a nostra autonomia energetica, i</w:t>
      </w:r>
      <w:r w:rsidR="00F85BFD" w:rsidRPr="008B64E0">
        <w:rPr>
          <w:sz w:val="28"/>
          <w:szCs w:val="28"/>
          <w:lang w:val="it-IT"/>
        </w:rPr>
        <w:t>o domando se dobbiamo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per caso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tornare anche al telefono a gettoni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visto che le</w:t>
      </w:r>
      <w:r>
        <w:rPr>
          <w:sz w:val="28"/>
          <w:szCs w:val="28"/>
          <w:lang w:val="it-IT"/>
        </w:rPr>
        <w:t xml:space="preserve"> batterie servono</w:t>
      </w:r>
      <w:r w:rsidR="00F85BFD" w:rsidRPr="008B64E0">
        <w:rPr>
          <w:sz w:val="28"/>
          <w:szCs w:val="28"/>
          <w:lang w:val="it-IT"/>
        </w:rPr>
        <w:t xml:space="preserve"> non solo per la mobilità elettrica</w:t>
      </w:r>
      <w:r>
        <w:rPr>
          <w:sz w:val="28"/>
          <w:szCs w:val="28"/>
          <w:lang w:val="it-IT"/>
        </w:rPr>
        <w:t>,</w:t>
      </w:r>
      <w:r w:rsidR="00F85BFD" w:rsidRPr="008B64E0">
        <w:rPr>
          <w:sz w:val="28"/>
          <w:szCs w:val="28"/>
          <w:lang w:val="it-IT"/>
        </w:rPr>
        <w:t xml:space="preserve"> ma servono</w:t>
      </w:r>
      <w:r>
        <w:rPr>
          <w:sz w:val="28"/>
          <w:szCs w:val="28"/>
          <w:lang w:val="it-IT"/>
        </w:rPr>
        <w:t xml:space="preserve"> anche per i nostri telefonini.</w:t>
      </w:r>
    </w:p>
    <w:p w:rsidR="008B64E0" w:rsidRDefault="008B64E0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8B64E0" w:rsidRDefault="00F85BFD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B64E0">
        <w:rPr>
          <w:sz w:val="28"/>
          <w:szCs w:val="28"/>
          <w:lang w:val="it-IT"/>
        </w:rPr>
        <w:t>E allora mi viene il dubbio che l'approccio ideologico appartenga non a chi sta difendendo questo regolamento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ma appartenga invece a chi non vuole vedere che questo regolamento è esattamente la ris</w:t>
      </w:r>
      <w:r w:rsidR="008B64E0">
        <w:rPr>
          <w:sz w:val="28"/>
          <w:szCs w:val="28"/>
          <w:lang w:val="it-IT"/>
        </w:rPr>
        <w:t>posta alla dipendenza da</w:t>
      </w:r>
      <w:bookmarkStart w:id="0" w:name="_GoBack"/>
      <w:bookmarkEnd w:id="0"/>
      <w:r w:rsidR="008B64E0">
        <w:rPr>
          <w:sz w:val="28"/>
          <w:szCs w:val="28"/>
          <w:lang w:val="it-IT"/>
        </w:rPr>
        <w:t xml:space="preserve"> altri p</w:t>
      </w:r>
      <w:r w:rsidRPr="008B64E0">
        <w:rPr>
          <w:sz w:val="28"/>
          <w:szCs w:val="28"/>
          <w:lang w:val="it-IT"/>
        </w:rPr>
        <w:t>aesi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perché aumenta i tassi di riciclaggio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perché potenzia le filiere produttive in Europa e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al tempo stesso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punta sulla </w:t>
      </w:r>
      <w:r w:rsidRPr="00731F33">
        <w:rPr>
          <w:i/>
          <w:sz w:val="28"/>
          <w:szCs w:val="28"/>
          <w:lang w:val="it-IT"/>
        </w:rPr>
        <w:t>due diligence</w:t>
      </w:r>
      <w:r w:rsidRPr="008B64E0">
        <w:rPr>
          <w:sz w:val="28"/>
          <w:szCs w:val="28"/>
          <w:lang w:val="it-IT"/>
        </w:rPr>
        <w:t xml:space="preserve"> e punta sulla tutela e la salute umana. E allora dico che non solo </w:t>
      </w:r>
      <w:r w:rsidRPr="008B64E0">
        <w:rPr>
          <w:sz w:val="28"/>
          <w:szCs w:val="28"/>
          <w:lang w:val="it-IT"/>
        </w:rPr>
        <w:lastRenderedPageBreak/>
        <w:t>non dobbiamo fermarci</w:t>
      </w:r>
      <w:r w:rsidR="008B64E0">
        <w:rPr>
          <w:sz w:val="28"/>
          <w:szCs w:val="28"/>
          <w:lang w:val="it-IT"/>
        </w:rPr>
        <w:t>,</w:t>
      </w:r>
      <w:r w:rsidRPr="008B64E0">
        <w:rPr>
          <w:sz w:val="28"/>
          <w:szCs w:val="28"/>
          <w:lang w:val="it-IT"/>
        </w:rPr>
        <w:t xml:space="preserve"> ma dobbiamo evidentemente correre</w:t>
      </w:r>
      <w:r w:rsidR="008B64E0">
        <w:rPr>
          <w:sz w:val="28"/>
          <w:szCs w:val="28"/>
          <w:lang w:val="it-IT"/>
        </w:rPr>
        <w:t>.</w:t>
      </w:r>
    </w:p>
    <w:sectPr w:rsidR="009532A0" w:rsidRPr="008B64E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E0"/>
    <w:rsid w:val="00731F33"/>
    <w:rsid w:val="008B64E0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43E"/>
  <w15:docId w15:val="{778E99EE-6DB2-4095-8484-DCCACEE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GRAVAGNO Gabriele</cp:lastModifiedBy>
  <cp:revision>2</cp:revision>
  <dcterms:created xsi:type="dcterms:W3CDTF">2022-03-09T17:02:00Z</dcterms:created>
  <dcterms:modified xsi:type="dcterms:W3CDTF">2022-03-09T17:02:00Z</dcterms:modified>
</cp:coreProperties>
</file>