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B12D38" w:rsidRDefault="003444E8">
      <w:pPr>
        <w:pStyle w:val="Interstitial1"/>
        <w:rPr>
          <w:color w:val="auto"/>
        </w:rPr>
      </w:pPr>
      <w:bookmarkStart w:id="0" w:name="_GoBack"/>
      <w:bookmarkEnd w:id="0"/>
      <w:r w:rsidRPr="00B12D38">
        <w:rPr>
          <w:rStyle w:val="HideTWBExt"/>
          <w:color w:val="auto"/>
        </w:rPr>
        <w:t>&lt;RepeatBlock-Amend&gt;&lt;Amend&gt;&lt;Date&gt;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200</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200</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4.a apsvērums (jauns)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(4a)</w:t>
            </w:r>
            <w:r w:rsidRPr="00B12D38">
              <w:rPr>
                <w:color w:val="auto"/>
              </w:rPr>
              <w:tab/>
            </w:r>
            <w:r w:rsidRPr="00B12D38">
              <w:rPr>
                <w:b/>
                <w:i/>
                <w:color w:val="auto"/>
              </w:rPr>
              <w:t>Dalībvalstīm būtu jāatturas pievienot noteikumus, kas veicina ERAF un Kohēzijas fonda sarežģītāku izmantošanu saņēmējam.</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201</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201</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14. apsvērums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3444E8">
            <w:pPr>
              <w:pStyle w:val="Normal6"/>
              <w:rPr>
                <w:color w:val="auto"/>
              </w:rPr>
            </w:pPr>
            <w:r w:rsidRPr="00B12D38">
              <w:rPr>
                <w:color w:val="auto"/>
              </w:rPr>
              <w:t>(14)</w:t>
            </w:r>
            <w:r w:rsidRPr="00B12D38">
              <w:rPr>
                <w:color w:val="auto"/>
              </w:rPr>
              <w:tab/>
              <w:t xml:space="preserve">Atspoguļojot to, cik svarīgi ir cīnīties pret klimata pārmaiņām, </w:t>
            </w:r>
            <w:r w:rsidRPr="00B12D38">
              <w:rPr>
                <w:b/>
                <w:i/>
                <w:color w:val="auto"/>
              </w:rPr>
              <w:t>kā</w:t>
            </w:r>
            <w:r w:rsidRPr="00B12D38">
              <w:rPr>
                <w:color w:val="auto"/>
              </w:rPr>
              <w:t xml:space="preserve"> to </w:t>
            </w:r>
            <w:r w:rsidRPr="00B12D38">
              <w:rPr>
                <w:b/>
                <w:i/>
                <w:color w:val="auto"/>
              </w:rPr>
              <w:t>apliecina</w:t>
            </w:r>
            <w:r w:rsidRPr="00B12D38">
              <w:rPr>
                <w:color w:val="auto"/>
              </w:rPr>
              <w:t xml:space="preserve"> Savienības </w:t>
            </w:r>
            <w:r w:rsidRPr="00B12D38">
              <w:rPr>
                <w:b/>
                <w:i/>
                <w:color w:val="auto"/>
              </w:rPr>
              <w:t>saistības īstenot</w:t>
            </w:r>
            <w:r w:rsidRPr="00B12D38">
              <w:rPr>
                <w:color w:val="auto"/>
              </w:rPr>
              <w:t xml:space="preserve"> Parīzes nolīgumu un </w:t>
            </w:r>
            <w:r w:rsidRPr="00B12D38">
              <w:rPr>
                <w:b/>
                <w:i/>
                <w:color w:val="auto"/>
              </w:rPr>
              <w:t>apņemšanās</w:t>
            </w:r>
            <w:r w:rsidRPr="00B12D38">
              <w:rPr>
                <w:color w:val="auto"/>
              </w:rPr>
              <w:t xml:space="preserve"> sasniegt Apvienoto Nāciju Organizācijas ilgtspējīgas attīstības mērķus, fondi palīdzēs integrēt klimata pasākumus un panākt, ka</w:t>
            </w:r>
            <w:r w:rsidRPr="00B12D38">
              <w:rPr>
                <w:b/>
                <w:i/>
                <w:color w:val="auto"/>
              </w:rPr>
              <w:t xml:space="preserve"> no</w:t>
            </w:r>
            <w:r w:rsidRPr="00B12D38">
              <w:rPr>
                <w:color w:val="auto"/>
              </w:rPr>
              <w:t xml:space="preserve"> ES budžeta kopumā </w:t>
            </w:r>
            <w:r w:rsidRPr="00B12D38">
              <w:rPr>
                <w:b/>
                <w:i/>
                <w:color w:val="auto"/>
              </w:rPr>
              <w:t>25</w:t>
            </w:r>
            <w:r w:rsidRPr="00B12D38">
              <w:rPr>
                <w:color w:val="auto"/>
              </w:rPr>
              <w:t xml:space="preserve"> % izdevumu palīdz sasniegt klimatiskos mērķus. </w:t>
            </w:r>
            <w:r w:rsidRPr="00B12D38">
              <w:rPr>
                <w:b/>
                <w:i/>
                <w:color w:val="auto"/>
              </w:rPr>
              <w:t>Sagaidāms</w:t>
            </w:r>
            <w:r w:rsidRPr="00B12D38">
              <w:rPr>
                <w:color w:val="auto"/>
              </w:rPr>
              <w:t xml:space="preserve">, </w:t>
            </w:r>
            <w:r w:rsidRPr="00B12D38">
              <w:rPr>
                <w:b/>
                <w:i/>
                <w:color w:val="auto"/>
              </w:rPr>
              <w:t>ka</w:t>
            </w:r>
            <w:r w:rsidRPr="00B12D38">
              <w:rPr>
                <w:color w:val="auto"/>
              </w:rPr>
              <w:t xml:space="preserve"> ERAF </w:t>
            </w:r>
            <w:r w:rsidRPr="00B12D38">
              <w:rPr>
                <w:b/>
                <w:i/>
                <w:color w:val="auto"/>
              </w:rPr>
              <w:t>darbībās</w:t>
            </w:r>
            <w:r w:rsidRPr="00B12D38">
              <w:rPr>
                <w:color w:val="auto"/>
              </w:rPr>
              <w:t xml:space="preserve"> klimatisko mērķu </w:t>
            </w:r>
            <w:r w:rsidRPr="00B12D38">
              <w:rPr>
                <w:b/>
                <w:i/>
                <w:color w:val="auto"/>
              </w:rPr>
              <w:t>veicināšanai tiks novirzīti 30</w:t>
            </w:r>
            <w:r w:rsidRPr="00B12D38">
              <w:rPr>
                <w:color w:val="auto"/>
              </w:rPr>
              <w:t xml:space="preserve"> % no visa ERAF finansējuma. Savukārt Kohēzijas fonda </w:t>
            </w:r>
            <w:r w:rsidRPr="00B12D38">
              <w:rPr>
                <w:b/>
                <w:i/>
                <w:color w:val="auto"/>
              </w:rPr>
              <w:t>darbībās</w:t>
            </w:r>
            <w:r w:rsidRPr="00B12D38">
              <w:rPr>
                <w:color w:val="auto"/>
              </w:rPr>
              <w:t xml:space="preserve"> sagaidāms, ka klimatisko mērķu </w:t>
            </w:r>
            <w:r w:rsidRPr="00B12D38">
              <w:rPr>
                <w:b/>
                <w:i/>
                <w:color w:val="auto"/>
              </w:rPr>
              <w:t>veicināšanai</w:t>
            </w:r>
            <w:r w:rsidRPr="00B12D38">
              <w:rPr>
                <w:color w:val="auto"/>
              </w:rPr>
              <w:t xml:space="preserve"> tiks novirzīti </w:t>
            </w:r>
            <w:r w:rsidRPr="00B12D38">
              <w:rPr>
                <w:b/>
                <w:i/>
                <w:color w:val="auto"/>
              </w:rPr>
              <w:t>37 </w:t>
            </w:r>
            <w:r w:rsidRPr="00B12D38">
              <w:rPr>
                <w:color w:val="auto"/>
              </w:rPr>
              <w:t>% no visa Kohēzijas fonda finansējuma.</w:t>
            </w:r>
          </w:p>
        </w:tc>
        <w:tc>
          <w:tcPr>
            <w:tcW w:w="4876" w:type="dxa"/>
          </w:tcPr>
          <w:p w:rsidR="00D4153E" w:rsidRPr="00B12D38" w:rsidRDefault="003444E8" w:rsidP="00B12D38">
            <w:pPr>
              <w:pStyle w:val="Normal6"/>
              <w:rPr>
                <w:color w:val="auto"/>
              </w:rPr>
            </w:pPr>
            <w:r w:rsidRPr="00B12D38">
              <w:rPr>
                <w:color w:val="auto"/>
              </w:rPr>
              <w:t>(14)</w:t>
            </w:r>
            <w:r w:rsidRPr="00B12D38">
              <w:rPr>
                <w:color w:val="auto"/>
              </w:rPr>
              <w:tab/>
            </w:r>
            <w:r w:rsidRPr="00B12D38">
              <w:rPr>
                <w:b/>
                <w:i/>
                <w:color w:val="auto"/>
              </w:rPr>
              <w:t>ERAF un Kohēzijas fonda mērķi būtu jāsasniedz saskaņā ar ilgtspējīgas attīstības apsvērumiem, jo īpaši ņemot vērā svarīgo cīņu pret klimata pārmaiņām saskaņā ar Savienības saistībām īstenot Parīzes nolīgumu un Apvienoto Nāciju Organizācijas Ilgtspējīgas attīstības programmu 2030. gadam un saskaņā ar ANO ilgtspējīgas attīstības mērķiem, kā arī atbilstoši Savienības centieniem palīdzēt sasniegt mērķi saglabāt, aizsargāt un uzlabot vides kvalitāti, kā ir noteikts LESD 11. pantā un 191. panta 1. punktā, ievērojot principu “piesārņotājs maksā”, kā arī pievēršot uzmanību centieniem novērst nabadzību un nevienlīdzību un nodrošinot taisnīgu pāreju uz sociāli un ekoloģiski ilgtspējīgu ekonomiku, īstenojot līdzdalības pieeju sadarbībā ar attiecīgajām publiskajām iestādēm, ekonomikas un sociālajiem partneriem un pilsoniskās sabiedrības organizācijām.</w:t>
            </w:r>
            <w:r w:rsidRPr="00B12D38">
              <w:rPr>
                <w:color w:val="auto"/>
              </w:rPr>
              <w:t xml:space="preserve"> Atspoguļojot to, cik svarīgi ir cīnīties pret klimata pārmaiņām</w:t>
            </w:r>
            <w:r w:rsidRPr="00B12D38">
              <w:rPr>
                <w:b/>
                <w:i/>
                <w:color w:val="auto"/>
              </w:rPr>
              <w:t xml:space="preserve"> un bioloģiskās daudzveidības zudumu</w:t>
            </w:r>
            <w:r w:rsidRPr="00B12D38">
              <w:rPr>
                <w:color w:val="auto"/>
              </w:rPr>
              <w:t xml:space="preserve">, </w:t>
            </w:r>
            <w:r w:rsidRPr="00B12D38">
              <w:rPr>
                <w:b/>
                <w:i/>
                <w:color w:val="auto"/>
              </w:rPr>
              <w:t>un nolūkā sekmēt</w:t>
            </w:r>
            <w:r w:rsidRPr="00B12D38">
              <w:rPr>
                <w:color w:val="auto"/>
              </w:rPr>
              <w:t xml:space="preserve"> to </w:t>
            </w:r>
            <w:r w:rsidRPr="00B12D38">
              <w:rPr>
                <w:b/>
                <w:i/>
                <w:color w:val="auto"/>
              </w:rPr>
              <w:t>nepieciešamo darbību finansēšanu, kas ir jāveic Savienības, dalībvalstu un vietējā līmenī, lai saskaņā ar</w:t>
            </w:r>
            <w:r w:rsidRPr="00B12D38">
              <w:rPr>
                <w:color w:val="auto"/>
              </w:rPr>
              <w:t xml:space="preserve"> Savienības </w:t>
            </w:r>
            <w:r w:rsidRPr="00B12D38">
              <w:rPr>
                <w:b/>
                <w:i/>
                <w:color w:val="auto"/>
              </w:rPr>
              <w:t>saistībām izpildītu</w:t>
            </w:r>
            <w:r w:rsidRPr="00B12D38">
              <w:rPr>
                <w:color w:val="auto"/>
              </w:rPr>
              <w:t xml:space="preserve"> Parīzes nolīgumu un </w:t>
            </w:r>
            <w:r w:rsidRPr="00B12D38">
              <w:rPr>
                <w:b/>
                <w:i/>
                <w:color w:val="auto"/>
              </w:rPr>
              <w:t>pienākumu</w:t>
            </w:r>
            <w:r w:rsidRPr="00B12D38">
              <w:rPr>
                <w:color w:val="auto"/>
              </w:rPr>
              <w:t xml:space="preserve"> sasniegt Apvienoto Nāciju Organizācijas ilgtspējīgas attīstības </w:t>
            </w:r>
            <w:r w:rsidRPr="00B12D38">
              <w:rPr>
                <w:color w:val="auto"/>
              </w:rPr>
              <w:lastRenderedPageBreak/>
              <w:t xml:space="preserve">mērķus, </w:t>
            </w:r>
            <w:r w:rsidRPr="00B12D38">
              <w:rPr>
                <w:b/>
                <w:i/>
                <w:color w:val="auto"/>
              </w:rPr>
              <w:t xml:space="preserve">kā arī garantēt integrētu katastrofu novēršanas atbalstu, kurā būtu apvienoti gan noturība, gan riska novēršana, gan gatavība un reakcija, </w:t>
            </w:r>
            <w:r w:rsidRPr="00B12D38">
              <w:rPr>
                <w:color w:val="auto"/>
              </w:rPr>
              <w:t xml:space="preserve">fondi palīdzēs integrēt klimata pasākumus un </w:t>
            </w:r>
            <w:r w:rsidRPr="00B12D38">
              <w:rPr>
                <w:b/>
                <w:i/>
                <w:color w:val="auto"/>
              </w:rPr>
              <w:t xml:space="preserve">bioloģiskās daudzveidības aizsardzību, cenšoties </w:t>
            </w:r>
            <w:r w:rsidRPr="00B12D38">
              <w:rPr>
                <w:color w:val="auto"/>
              </w:rPr>
              <w:t xml:space="preserve">panākt, ka ES budžeta kopumā </w:t>
            </w:r>
            <w:r w:rsidRPr="00B12D38">
              <w:rPr>
                <w:b/>
                <w:i/>
                <w:color w:val="auto"/>
              </w:rPr>
              <w:t>30</w:t>
            </w:r>
            <w:r w:rsidRPr="00B12D38">
              <w:rPr>
                <w:color w:val="auto"/>
              </w:rPr>
              <w:t xml:space="preserve"> % izdevumu palīdz sasniegt klimatiskos mērķus. </w:t>
            </w:r>
            <w:r w:rsidRPr="00B12D38">
              <w:rPr>
                <w:b/>
                <w:i/>
                <w:color w:val="auto"/>
              </w:rPr>
              <w:t>Fondiem visās Savienības teritorijās ir būtiski jāveicina aprites un mazoglekļa ekonomikas ieviešana, pilnībā iestrādājot reģionālo aspektu.</w:t>
            </w:r>
            <w:r w:rsidRPr="00B12D38">
              <w:rPr>
                <w:color w:val="auto"/>
              </w:rPr>
              <w:t xml:space="preserve"> </w:t>
            </w:r>
            <w:r w:rsidRPr="00B12D38">
              <w:rPr>
                <w:b/>
                <w:i/>
                <w:color w:val="auto"/>
              </w:rPr>
              <w:t>Īstenojot</w:t>
            </w:r>
            <w:r w:rsidRPr="00B12D38">
              <w:rPr>
                <w:color w:val="auto"/>
              </w:rPr>
              <w:t xml:space="preserve"> ERAF </w:t>
            </w:r>
            <w:r w:rsidRPr="00B12D38">
              <w:rPr>
                <w:b/>
                <w:i/>
                <w:color w:val="auto"/>
              </w:rPr>
              <w:t>darbības,</w:t>
            </w:r>
            <w:r w:rsidRPr="00B12D38">
              <w:rPr>
                <w:color w:val="auto"/>
              </w:rPr>
              <w:t xml:space="preserve"> klimatisko mērķu </w:t>
            </w:r>
            <w:r w:rsidRPr="00B12D38">
              <w:rPr>
                <w:b/>
                <w:i/>
                <w:color w:val="auto"/>
              </w:rPr>
              <w:t>sasniegšanai būtu jānovirza vismaz 40</w:t>
            </w:r>
            <w:r w:rsidRPr="00B12D38">
              <w:rPr>
                <w:color w:val="auto"/>
              </w:rPr>
              <w:t> % no visa ERAF finansējuma. Savukārt</w:t>
            </w:r>
            <w:r w:rsidRPr="00B12D38">
              <w:rPr>
                <w:b/>
                <w:i/>
                <w:color w:val="auto"/>
              </w:rPr>
              <w:t>, īstenojot</w:t>
            </w:r>
            <w:r w:rsidRPr="00B12D38">
              <w:rPr>
                <w:color w:val="auto"/>
              </w:rPr>
              <w:t xml:space="preserve"> Kohēzijas fonda </w:t>
            </w:r>
            <w:r w:rsidRPr="00B12D38">
              <w:rPr>
                <w:b/>
                <w:i/>
                <w:color w:val="auto"/>
              </w:rPr>
              <w:t>darbības,</w:t>
            </w:r>
            <w:r w:rsidRPr="00B12D38">
              <w:rPr>
                <w:color w:val="auto"/>
              </w:rPr>
              <w:t xml:space="preserve"> sagaidāms, ka klimatisko mērķu </w:t>
            </w:r>
            <w:r w:rsidRPr="00B12D38">
              <w:rPr>
                <w:b/>
                <w:i/>
                <w:color w:val="auto"/>
              </w:rPr>
              <w:t>īstenošanai</w:t>
            </w:r>
            <w:r w:rsidRPr="00B12D38">
              <w:rPr>
                <w:color w:val="auto"/>
              </w:rPr>
              <w:t xml:space="preserve"> tiks novirzīti </w:t>
            </w:r>
            <w:r w:rsidRPr="00B12D38">
              <w:rPr>
                <w:b/>
                <w:i/>
                <w:color w:val="auto"/>
              </w:rPr>
              <w:t xml:space="preserve">45 </w:t>
            </w:r>
            <w:r w:rsidRPr="00B12D38">
              <w:rPr>
                <w:color w:val="auto"/>
              </w:rPr>
              <w:t xml:space="preserve">% no visa Kohēzijas fonda finansējuma. </w:t>
            </w:r>
            <w:r w:rsidRPr="00B12D38">
              <w:rPr>
                <w:b/>
                <w:i/>
                <w:color w:val="auto"/>
              </w:rPr>
              <w:t>Šie procentuālie rādītāji būtu jāievēro visā plānošanas periodā. Tādēļ attiecīgās darbības tiks apzinātas šo fondu sagatavošanas un īstenošanas laikā, un tās tiks pārskatītas attiecīgajos novērtēšanas un pārskatīšanas procesos. Šīs darbības un finanšu piešķīrums, kas ir paredzēts to īstenošanai, ir jāiekļauj valstu integrētajos enerģētikas un klimata plānos saskaņā ar Regulas (ES) Nr.  .../... [jaunā KNR] IV pielikumu, kā arī ilgtermiņa renovācijas stratēģiju, kas ir izveidota saskaņā ar Eiropas Parlamenta un Padomes Direktīvu (ES) 2018/844</w:t>
            </w:r>
            <w:r w:rsidRPr="00B12D38">
              <w:rPr>
                <w:rStyle w:val="SupBoldItalic"/>
                <w:color w:val="auto"/>
              </w:rPr>
              <w:t>17a</w:t>
            </w:r>
            <w:r w:rsidRPr="00B12D38">
              <w:rPr>
                <w:b/>
                <w:i/>
                <w:color w:val="auto"/>
              </w:rPr>
              <w:t>, lai līdz 2050. gadam palīdzētu izveidot dekarbonizētu ēku fondu, un kas ir pievienota programmām. Īpaša uzmanība būtu jāpievērš nozarēm ar lielām oglekļa emisijām, kas saskaras ar dekarbonizācijas saistīb</w:t>
            </w:r>
            <w:r w:rsidR="00B12D38">
              <w:rPr>
                <w:b/>
                <w:i/>
                <w:color w:val="auto"/>
              </w:rPr>
              <w:t>u</w:t>
            </w:r>
            <w:r w:rsidRPr="00B12D38">
              <w:rPr>
                <w:b/>
                <w:i/>
                <w:color w:val="auto"/>
              </w:rPr>
              <w:t xml:space="preserve"> izraisītām problēmām, lai gan palīdzētu tām īstenot stratēģijas, kas atbilstu Savienības klimata saistībām, ir noteiktas integrētajos nacionālajos enerģētikas un klimata plānos un ir paredzētas Eiropas Parlamenta un Padomes Direktīvā (ES) 2018/410</w:t>
            </w:r>
            <w:r w:rsidRPr="00B12D38">
              <w:rPr>
                <w:rStyle w:val="SupBoldItalic"/>
                <w:color w:val="auto"/>
              </w:rPr>
              <w:t>17b</w:t>
            </w:r>
            <w:r w:rsidRPr="00B12D38">
              <w:rPr>
                <w:b/>
                <w:i/>
                <w:color w:val="auto"/>
              </w:rPr>
              <w:t xml:space="preserve">, gan arī lai aizsargātu darba ņēmējus, tostarp ar apmācības un </w:t>
            </w:r>
            <w:r w:rsidRPr="00B12D38">
              <w:rPr>
                <w:b/>
                <w:i/>
                <w:color w:val="auto"/>
              </w:rPr>
              <w:lastRenderedPageBreak/>
              <w:t>pārkvalifikācijas iespēju palīdzību.</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color w:val="auto"/>
              </w:rPr>
              <w:t>_________________</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rStyle w:val="SupBoldItalic"/>
                <w:color w:val="auto"/>
              </w:rPr>
              <w:t>17a</w:t>
            </w:r>
            <w:r w:rsidRPr="00B12D38">
              <w:rPr>
                <w:b/>
                <w:i/>
                <w:color w:val="auto"/>
              </w:rPr>
              <w:t xml:space="preserve"> Eiropas Parlamenta un Padomes 2018. gada 30. maija Direktīva (ES) 2018/844, ar ko groza Direktīvu 2010/31/ES par ēku energoefektivitāti un Direktīvu 2012/27/ES par energoefektivitāti (OV L 156, 19.6.2018., 75. lpp.).</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rStyle w:val="SupBoldItalic"/>
                <w:color w:val="auto"/>
              </w:rPr>
              <w:t>17b</w:t>
            </w:r>
            <w:r w:rsidRPr="00B12D38">
              <w:rPr>
                <w:b/>
                <w:i/>
                <w:color w:val="auto"/>
              </w:rPr>
              <w:t xml:space="preserve"> Eiropas Parlamenta un Padomes 2018. gada 14. marta Direktīva (ES) 2018/410, ar ko groza Direktīvu 2003/87/EK, lai sekmētu emisiju izmaksefektīvu samazināšanu un investīcijas mazoglekļa risinājumos, un Lēmumu (ES) 2015/1814 (OV L 76, 19.3.2018., 3. lpp.).</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footerReference w:type="default" r:id="rId12"/>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202</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202</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2. pants – 3.a punkts (jauns)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3.a</w:t>
            </w:r>
            <w:r w:rsidRPr="00B12D38">
              <w:rPr>
                <w:color w:val="auto"/>
              </w:rPr>
              <w:tab/>
            </w:r>
            <w:r w:rsidRPr="00B12D38">
              <w:rPr>
                <w:b/>
                <w:i/>
                <w:color w:val="auto"/>
              </w:rPr>
              <w:t>Dalībvalstis nodrošina, ka vietējām un reģionālajām iestādēm un citiem attiecīgiem vietējiem un reģionālajiem dalībniekiem, piemēram, bezpeļņas organizācijām, ir piekļuve ERAF resursiem, kas tiem darīti pieejami nolūkā risināt sociāli ekonomiskās integrācijas jautājumus attiecībā uz sociāli atstumtām kopienām, nelabvēlīgā situācijā esošām grupām, kā arī bēgļiem un migrantiem vietējā un reģionālā līmenī.</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footerReference w:type="default" r:id="rId13"/>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203</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203</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3. pants – 4. punkts – a apakšpunkts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3444E8">
            <w:pPr>
              <w:pStyle w:val="Normal6"/>
              <w:rPr>
                <w:color w:val="auto"/>
              </w:rPr>
            </w:pPr>
            <w:r w:rsidRPr="00B12D38">
              <w:rPr>
                <w:color w:val="auto"/>
              </w:rPr>
              <w:t>(a)</w:t>
            </w:r>
            <w:r w:rsidRPr="00B12D38">
              <w:rPr>
                <w:color w:val="auto"/>
              </w:rPr>
              <w:tab/>
              <w:t>1.</w:t>
            </w:r>
            <w:r w:rsidRPr="00B12D38">
              <w:rPr>
                <w:b/>
                <w:i/>
                <w:color w:val="auto"/>
              </w:rPr>
              <w:t xml:space="preserve"> grupas dalībvalstis prioritātēm, kurās neietilpst tehniskā palīdzība, </w:t>
            </w:r>
            <w:r w:rsidRPr="00B12D38">
              <w:rPr>
                <w:color w:val="auto"/>
              </w:rPr>
              <w:t xml:space="preserve">vismaz </w:t>
            </w:r>
            <w:r w:rsidRPr="00B12D38">
              <w:rPr>
                <w:b/>
                <w:i/>
                <w:color w:val="auto"/>
              </w:rPr>
              <w:t xml:space="preserve">85 % </w:t>
            </w:r>
            <w:r w:rsidRPr="00B12D38">
              <w:rPr>
                <w:color w:val="auto"/>
              </w:rPr>
              <w:t>no</w:t>
            </w:r>
            <w:r w:rsidRPr="00B12D38">
              <w:rPr>
                <w:b/>
                <w:i/>
                <w:color w:val="auto"/>
              </w:rPr>
              <w:t xml:space="preserve"> saviem </w:t>
            </w:r>
            <w:r w:rsidRPr="00B12D38">
              <w:rPr>
                <w:color w:val="auto"/>
              </w:rPr>
              <w:t>kopējiem ERAF līdzekļiem</w:t>
            </w:r>
            <w:r w:rsidRPr="00B12D38">
              <w:rPr>
                <w:b/>
                <w:i/>
                <w:color w:val="auto"/>
              </w:rPr>
              <w:t xml:space="preserve"> piešķir </w:t>
            </w:r>
            <w:r w:rsidRPr="00B12D38">
              <w:rPr>
                <w:color w:val="auto"/>
              </w:rPr>
              <w:t>PM Nr. 1</w:t>
            </w:r>
            <w:r w:rsidRPr="00B12D38">
              <w:rPr>
                <w:b/>
                <w:i/>
                <w:color w:val="auto"/>
              </w:rPr>
              <w:t xml:space="preserve"> </w:t>
            </w:r>
            <w:r w:rsidRPr="00B12D38">
              <w:rPr>
                <w:color w:val="auto"/>
              </w:rPr>
              <w:t>un PM Nr. 2</w:t>
            </w:r>
            <w:r w:rsidRPr="00B12D38">
              <w:rPr>
                <w:b/>
                <w:i/>
                <w:color w:val="auto"/>
              </w:rPr>
              <w:t>, turklāt PM Nr. 1 — vismaz 60 %</w:t>
            </w:r>
            <w:r w:rsidRPr="00B12D38">
              <w:rPr>
                <w:color w:val="auto"/>
              </w:rPr>
              <w:t>;</w:t>
            </w:r>
          </w:p>
        </w:tc>
        <w:tc>
          <w:tcPr>
            <w:tcW w:w="4876" w:type="dxa"/>
          </w:tcPr>
          <w:p w:rsidR="00D4153E" w:rsidRPr="00B12D38" w:rsidRDefault="003444E8">
            <w:pPr>
              <w:pStyle w:val="Normal6"/>
              <w:rPr>
                <w:color w:val="auto"/>
              </w:rPr>
            </w:pPr>
            <w:r w:rsidRPr="00B12D38">
              <w:rPr>
                <w:color w:val="auto"/>
              </w:rPr>
              <w:t>(a)</w:t>
            </w:r>
            <w:r w:rsidRPr="00B12D38">
              <w:rPr>
                <w:color w:val="auto"/>
              </w:rPr>
              <w:tab/>
            </w:r>
            <w:r w:rsidRPr="00B12D38">
              <w:rPr>
                <w:b/>
                <w:i/>
                <w:color w:val="auto"/>
              </w:rPr>
              <w:t>vairāk attīstīto reģionu kategorijai (</w:t>
            </w:r>
            <w:r w:rsidRPr="00B12D38">
              <w:rPr>
                <w:color w:val="auto"/>
              </w:rPr>
              <w:t xml:space="preserve">1. </w:t>
            </w:r>
            <w:r w:rsidRPr="00B12D38">
              <w:rPr>
                <w:b/>
                <w:i/>
                <w:color w:val="auto"/>
              </w:rPr>
              <w:t>grupa) tās piešķir:</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(i)</w:t>
            </w:r>
            <w:r w:rsidRPr="00B12D38">
              <w:rPr>
                <w:color w:val="auto"/>
              </w:rPr>
              <w:t xml:space="preserve"> vismaz </w:t>
            </w:r>
            <w:r w:rsidRPr="00B12D38">
              <w:rPr>
                <w:b/>
                <w:i/>
                <w:color w:val="auto"/>
              </w:rPr>
              <w:t xml:space="preserve">50% </w:t>
            </w:r>
            <w:r w:rsidRPr="00B12D38">
              <w:rPr>
                <w:color w:val="auto"/>
              </w:rPr>
              <w:t xml:space="preserve">no kopējiem ERAF līdzekļiem </w:t>
            </w:r>
            <w:r w:rsidRPr="00B12D38">
              <w:rPr>
                <w:b/>
                <w:i/>
                <w:color w:val="auto"/>
              </w:rPr>
              <w:t xml:space="preserve">valsts līmenī — </w:t>
            </w:r>
            <w:r w:rsidRPr="00B12D38">
              <w:rPr>
                <w:color w:val="auto"/>
              </w:rPr>
              <w:t>PM Nr. 1</w:t>
            </w:r>
            <w:r w:rsidRPr="00B12D38">
              <w:rPr>
                <w:b/>
                <w:i/>
                <w:color w:val="auto"/>
              </w:rPr>
              <w:t xml:space="preserve"> </w:t>
            </w:r>
            <w:r w:rsidRPr="00B12D38">
              <w:rPr>
                <w:color w:val="auto"/>
              </w:rPr>
              <w:t>un</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(ii)</w:t>
            </w:r>
            <w:r w:rsidRPr="00B12D38">
              <w:rPr>
                <w:color w:val="auto"/>
              </w:rPr>
              <w:t xml:space="preserve"> </w:t>
            </w:r>
            <w:r w:rsidRPr="00B12D38">
              <w:rPr>
                <w:b/>
                <w:i/>
                <w:color w:val="auto"/>
              </w:rPr>
              <w:t xml:space="preserve">vismaz 40% no kopējiem ERAF līdzekļiem valsts līmenī — </w:t>
            </w:r>
            <w:r w:rsidRPr="00B12D38">
              <w:rPr>
                <w:color w:val="auto"/>
              </w:rPr>
              <w:t>PM Nr. 2;</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footerReference w:type="default" r:id="rId14"/>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204</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204</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3. pants – 4. punkts – b apakšpunkts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3444E8">
            <w:pPr>
              <w:pStyle w:val="Normal6"/>
              <w:rPr>
                <w:color w:val="auto"/>
              </w:rPr>
            </w:pPr>
            <w:r w:rsidRPr="00B12D38">
              <w:rPr>
                <w:color w:val="auto"/>
              </w:rPr>
              <w:t>(b)</w:t>
            </w:r>
            <w:r w:rsidRPr="00B12D38">
              <w:rPr>
                <w:color w:val="auto"/>
              </w:rPr>
              <w:tab/>
              <w:t>2.</w:t>
            </w:r>
            <w:r w:rsidRPr="00B12D38">
              <w:rPr>
                <w:b/>
                <w:i/>
                <w:color w:val="auto"/>
              </w:rPr>
              <w:t xml:space="preserve"> grupas dalībvalstis prioritātēm, kurās neietilpst tehniskā palīdzība, </w:t>
            </w:r>
            <w:r w:rsidRPr="00B12D38">
              <w:rPr>
                <w:color w:val="auto"/>
              </w:rPr>
              <w:t xml:space="preserve">vismaz </w:t>
            </w:r>
            <w:r w:rsidRPr="00B12D38">
              <w:rPr>
                <w:b/>
                <w:i/>
                <w:color w:val="auto"/>
              </w:rPr>
              <w:t xml:space="preserve">45 % </w:t>
            </w:r>
            <w:r w:rsidRPr="00B12D38">
              <w:rPr>
                <w:color w:val="auto"/>
              </w:rPr>
              <w:t>no</w:t>
            </w:r>
            <w:r w:rsidRPr="00B12D38">
              <w:rPr>
                <w:b/>
                <w:i/>
                <w:color w:val="auto"/>
              </w:rPr>
              <w:t xml:space="preserve"> saviem </w:t>
            </w:r>
            <w:r w:rsidRPr="00B12D38">
              <w:rPr>
                <w:color w:val="auto"/>
              </w:rPr>
              <w:t>kopējiem ERAF līdzekļiem</w:t>
            </w:r>
            <w:r w:rsidRPr="00B12D38">
              <w:rPr>
                <w:b/>
                <w:i/>
                <w:color w:val="auto"/>
              </w:rPr>
              <w:t xml:space="preserve"> piešķir </w:t>
            </w:r>
            <w:r w:rsidRPr="00B12D38">
              <w:rPr>
                <w:color w:val="auto"/>
              </w:rPr>
              <w:t>PM Nr. 1</w:t>
            </w:r>
            <w:r w:rsidRPr="00B12D38">
              <w:rPr>
                <w:b/>
                <w:i/>
                <w:color w:val="auto"/>
              </w:rPr>
              <w:t xml:space="preserve">, bet </w:t>
            </w:r>
            <w:r w:rsidRPr="00B12D38">
              <w:rPr>
                <w:color w:val="auto"/>
              </w:rPr>
              <w:t xml:space="preserve">PM Nr. 2 </w:t>
            </w:r>
            <w:r w:rsidRPr="00B12D38">
              <w:rPr>
                <w:b/>
                <w:i/>
                <w:color w:val="auto"/>
              </w:rPr>
              <w:t>— vismaz 30 %</w:t>
            </w:r>
            <w:r w:rsidRPr="00B12D38">
              <w:rPr>
                <w:color w:val="auto"/>
              </w:rPr>
              <w:t>;</w:t>
            </w:r>
          </w:p>
        </w:tc>
        <w:tc>
          <w:tcPr>
            <w:tcW w:w="4876" w:type="dxa"/>
          </w:tcPr>
          <w:p w:rsidR="00D4153E" w:rsidRPr="00B12D38" w:rsidRDefault="003444E8">
            <w:pPr>
              <w:pStyle w:val="Normal6"/>
              <w:rPr>
                <w:color w:val="auto"/>
              </w:rPr>
            </w:pPr>
            <w:r w:rsidRPr="00B12D38">
              <w:rPr>
                <w:color w:val="auto"/>
              </w:rPr>
              <w:t>(b)</w:t>
            </w:r>
            <w:r w:rsidRPr="00B12D38">
              <w:rPr>
                <w:color w:val="auto"/>
              </w:rPr>
              <w:tab/>
            </w:r>
            <w:r w:rsidRPr="00B12D38">
              <w:rPr>
                <w:b/>
                <w:i/>
                <w:color w:val="auto"/>
              </w:rPr>
              <w:t>pārejas reģionu kategorijai (</w:t>
            </w:r>
            <w:r w:rsidRPr="00B12D38">
              <w:rPr>
                <w:color w:val="auto"/>
              </w:rPr>
              <w:t xml:space="preserve">2. </w:t>
            </w:r>
            <w:r w:rsidRPr="00B12D38">
              <w:rPr>
                <w:b/>
                <w:i/>
                <w:color w:val="auto"/>
              </w:rPr>
              <w:t>grupa) tās piešķir:</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(i)</w:t>
            </w:r>
            <w:r w:rsidRPr="00B12D38">
              <w:rPr>
                <w:color w:val="auto"/>
              </w:rPr>
              <w:t xml:space="preserve"> vismaz </w:t>
            </w:r>
            <w:r w:rsidRPr="00B12D38">
              <w:rPr>
                <w:b/>
                <w:i/>
                <w:color w:val="auto"/>
              </w:rPr>
              <w:t xml:space="preserve">40 % </w:t>
            </w:r>
            <w:r w:rsidRPr="00B12D38">
              <w:rPr>
                <w:color w:val="auto"/>
              </w:rPr>
              <w:t>no kopējiem ERAF līdzekļiem</w:t>
            </w:r>
            <w:r w:rsidRPr="00B12D38">
              <w:rPr>
                <w:b/>
                <w:i/>
                <w:color w:val="auto"/>
              </w:rPr>
              <w:t xml:space="preserve"> valsts līmenī — </w:t>
            </w:r>
            <w:r w:rsidRPr="00B12D38">
              <w:rPr>
                <w:color w:val="auto"/>
              </w:rPr>
              <w:t>PM Nr. 1</w:t>
            </w:r>
            <w:r w:rsidRPr="00B12D38">
              <w:rPr>
                <w:b/>
                <w:i/>
                <w:color w:val="auto"/>
              </w:rPr>
              <w:t xml:space="preserve"> un</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(ii)</w:t>
            </w:r>
            <w:r w:rsidRPr="00B12D38">
              <w:rPr>
                <w:color w:val="auto"/>
              </w:rPr>
              <w:t xml:space="preserve"> </w:t>
            </w:r>
            <w:r w:rsidRPr="00B12D38">
              <w:rPr>
                <w:b/>
                <w:i/>
                <w:color w:val="auto"/>
              </w:rPr>
              <w:t xml:space="preserve">vismaz 40 % no kopējiem ERAF līdzekļiem valsts līmenī — </w:t>
            </w:r>
            <w:r w:rsidRPr="00B12D38">
              <w:rPr>
                <w:color w:val="auto"/>
              </w:rPr>
              <w:t>PM Nr. 2;</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footerReference w:type="default" r:id="rId15"/>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205</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205</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3. pants – 4. punkts – c apakšpunkts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3444E8">
            <w:pPr>
              <w:pStyle w:val="Normal6"/>
              <w:rPr>
                <w:color w:val="auto"/>
              </w:rPr>
            </w:pPr>
            <w:r w:rsidRPr="00B12D38">
              <w:rPr>
                <w:color w:val="auto"/>
              </w:rPr>
              <w:t>(c)</w:t>
            </w:r>
            <w:r w:rsidRPr="00B12D38">
              <w:rPr>
                <w:color w:val="auto"/>
              </w:rPr>
              <w:tab/>
              <w:t>3.</w:t>
            </w:r>
            <w:r w:rsidRPr="00B12D38">
              <w:rPr>
                <w:b/>
                <w:i/>
                <w:color w:val="auto"/>
              </w:rPr>
              <w:t xml:space="preserve"> grupas dalībvalstis prioritātēm, kurās neietilpst tehniskā palīdzība, </w:t>
            </w:r>
            <w:r w:rsidRPr="00B12D38">
              <w:rPr>
                <w:color w:val="auto"/>
              </w:rPr>
              <w:t xml:space="preserve">vismaz </w:t>
            </w:r>
            <w:r w:rsidRPr="00B12D38">
              <w:rPr>
                <w:b/>
                <w:i/>
                <w:color w:val="auto"/>
              </w:rPr>
              <w:t xml:space="preserve">35 % </w:t>
            </w:r>
            <w:r w:rsidRPr="00B12D38">
              <w:rPr>
                <w:color w:val="auto"/>
              </w:rPr>
              <w:t>no</w:t>
            </w:r>
            <w:r w:rsidRPr="00B12D38">
              <w:rPr>
                <w:b/>
                <w:i/>
                <w:color w:val="auto"/>
              </w:rPr>
              <w:t xml:space="preserve"> saviem </w:t>
            </w:r>
            <w:r w:rsidRPr="00B12D38">
              <w:rPr>
                <w:color w:val="auto"/>
              </w:rPr>
              <w:t>kopējiem ERAF līdzekļiem</w:t>
            </w:r>
            <w:r w:rsidRPr="00B12D38">
              <w:rPr>
                <w:b/>
                <w:i/>
                <w:color w:val="auto"/>
              </w:rPr>
              <w:t xml:space="preserve"> piešķir </w:t>
            </w:r>
            <w:r w:rsidRPr="00B12D38">
              <w:rPr>
                <w:color w:val="auto"/>
              </w:rPr>
              <w:t>PM Nr. 1</w:t>
            </w:r>
            <w:r w:rsidRPr="00B12D38">
              <w:rPr>
                <w:b/>
                <w:i/>
                <w:color w:val="auto"/>
              </w:rPr>
              <w:t xml:space="preserve">, bet </w:t>
            </w:r>
            <w:r w:rsidRPr="00B12D38">
              <w:rPr>
                <w:color w:val="auto"/>
              </w:rPr>
              <w:t>PM Nr. 2</w:t>
            </w:r>
            <w:r w:rsidRPr="00B12D38">
              <w:rPr>
                <w:b/>
                <w:i/>
                <w:color w:val="auto"/>
              </w:rPr>
              <w:t xml:space="preserve"> — vismaz 30 %</w:t>
            </w:r>
            <w:r w:rsidRPr="00B12D38">
              <w:rPr>
                <w:color w:val="auto"/>
              </w:rPr>
              <w:t>.</w:t>
            </w:r>
          </w:p>
        </w:tc>
        <w:tc>
          <w:tcPr>
            <w:tcW w:w="4876" w:type="dxa"/>
          </w:tcPr>
          <w:p w:rsidR="00D4153E" w:rsidRPr="00B12D38" w:rsidRDefault="003444E8">
            <w:pPr>
              <w:pStyle w:val="Normal6"/>
              <w:rPr>
                <w:color w:val="auto"/>
              </w:rPr>
            </w:pPr>
            <w:r w:rsidRPr="00B12D38">
              <w:rPr>
                <w:color w:val="auto"/>
              </w:rPr>
              <w:t>(c)</w:t>
            </w:r>
            <w:r w:rsidRPr="00B12D38">
              <w:rPr>
                <w:color w:val="auto"/>
              </w:rPr>
              <w:tab/>
            </w:r>
            <w:r w:rsidRPr="00B12D38">
              <w:rPr>
                <w:b/>
                <w:i/>
                <w:color w:val="auto"/>
              </w:rPr>
              <w:t>mazāk attīstīto reģionu kategorijai (</w:t>
            </w:r>
            <w:r w:rsidRPr="00B12D38">
              <w:rPr>
                <w:color w:val="auto"/>
              </w:rPr>
              <w:t xml:space="preserve">3. </w:t>
            </w:r>
            <w:r w:rsidRPr="00B12D38">
              <w:rPr>
                <w:b/>
                <w:i/>
                <w:color w:val="auto"/>
              </w:rPr>
              <w:t>grupa) tās piešķir:</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(i)</w:t>
            </w:r>
            <w:r w:rsidRPr="00B12D38">
              <w:rPr>
                <w:color w:val="auto"/>
              </w:rPr>
              <w:t xml:space="preserve"> vismaz </w:t>
            </w:r>
            <w:r w:rsidRPr="00B12D38">
              <w:rPr>
                <w:b/>
                <w:i/>
                <w:color w:val="auto"/>
              </w:rPr>
              <w:t xml:space="preserve">30 % </w:t>
            </w:r>
            <w:r w:rsidRPr="00B12D38">
              <w:rPr>
                <w:color w:val="auto"/>
              </w:rPr>
              <w:t>no kopējiem ERAF līdzekļiem</w:t>
            </w:r>
            <w:r w:rsidRPr="00B12D38">
              <w:rPr>
                <w:b/>
                <w:i/>
                <w:color w:val="auto"/>
              </w:rPr>
              <w:t xml:space="preserve"> valsts līmenī — </w:t>
            </w:r>
            <w:r w:rsidRPr="00B12D38">
              <w:rPr>
                <w:color w:val="auto"/>
              </w:rPr>
              <w:t>PM Nr. 1</w:t>
            </w:r>
            <w:r w:rsidRPr="00B12D38">
              <w:rPr>
                <w:b/>
                <w:i/>
                <w:color w:val="auto"/>
              </w:rPr>
              <w:t xml:space="preserve"> un</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(ii)</w:t>
            </w:r>
            <w:r w:rsidRPr="00B12D38">
              <w:rPr>
                <w:color w:val="auto"/>
              </w:rPr>
              <w:t xml:space="preserve"> </w:t>
            </w:r>
            <w:r w:rsidRPr="00B12D38">
              <w:rPr>
                <w:b/>
                <w:i/>
                <w:color w:val="auto"/>
              </w:rPr>
              <w:t xml:space="preserve">vismaz 40 % no kopējiem ERAF līdzekļiem valsts līmenī — </w:t>
            </w:r>
            <w:r w:rsidRPr="00B12D38">
              <w:rPr>
                <w:color w:val="auto"/>
              </w:rPr>
              <w:t>PM Nr. 2.</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footerReference w:type="default" r:id="rId16"/>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206</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206</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5. pants – 1. punkts – 1. daļa – a apakšpunkts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3444E8">
            <w:pPr>
              <w:pStyle w:val="Normal6"/>
              <w:rPr>
                <w:color w:val="auto"/>
              </w:rPr>
            </w:pPr>
            <w:r w:rsidRPr="00B12D38">
              <w:rPr>
                <w:color w:val="auto"/>
              </w:rPr>
              <w:t>(a)</w:t>
            </w:r>
            <w:r w:rsidRPr="00B12D38">
              <w:rPr>
                <w:color w:val="auto"/>
              </w:rPr>
              <w:tab/>
              <w:t xml:space="preserve">vidiskas investīcijas, tostarp investīcijas, kuras saistītas ar ilgtspējīgu attīstību un </w:t>
            </w:r>
            <w:r w:rsidRPr="00B12D38">
              <w:rPr>
                <w:b/>
                <w:i/>
                <w:color w:val="auto"/>
              </w:rPr>
              <w:t>enerģētiku</w:t>
            </w:r>
            <w:r w:rsidRPr="00B12D38">
              <w:rPr>
                <w:color w:val="auto"/>
              </w:rPr>
              <w:t xml:space="preserve"> un dod vidisku labumu,</w:t>
            </w:r>
          </w:p>
        </w:tc>
        <w:tc>
          <w:tcPr>
            <w:tcW w:w="4876" w:type="dxa"/>
          </w:tcPr>
          <w:p w:rsidR="00D4153E" w:rsidRPr="00B12D38" w:rsidRDefault="003444E8">
            <w:pPr>
              <w:pStyle w:val="Normal6"/>
              <w:rPr>
                <w:color w:val="auto"/>
              </w:rPr>
            </w:pPr>
            <w:r w:rsidRPr="00B12D38">
              <w:rPr>
                <w:color w:val="auto"/>
              </w:rPr>
              <w:t>(a)</w:t>
            </w:r>
            <w:r w:rsidRPr="00B12D38">
              <w:rPr>
                <w:color w:val="auto"/>
              </w:rPr>
              <w:tab/>
              <w:t xml:space="preserve">vidiskas investīcijas, tostarp investīcijas, kuras saistītas ar </w:t>
            </w:r>
            <w:r w:rsidRPr="00B12D38">
              <w:rPr>
                <w:b/>
                <w:i/>
                <w:color w:val="auto"/>
              </w:rPr>
              <w:t xml:space="preserve">aprites ekonomiku, </w:t>
            </w:r>
            <w:r w:rsidRPr="00B12D38">
              <w:rPr>
                <w:color w:val="auto"/>
              </w:rPr>
              <w:t xml:space="preserve">ilgtspējīgu attīstību un </w:t>
            </w:r>
            <w:r w:rsidRPr="00B12D38">
              <w:rPr>
                <w:b/>
                <w:i/>
                <w:color w:val="auto"/>
              </w:rPr>
              <w:t>ilgtspējīgu atjaunojamo energoresursu enerģiju</w:t>
            </w:r>
            <w:r w:rsidRPr="00B12D38">
              <w:rPr>
                <w:color w:val="auto"/>
              </w:rPr>
              <w:t xml:space="preserve"> un</w:t>
            </w:r>
            <w:r w:rsidRPr="00B12D38">
              <w:rPr>
                <w:b/>
                <w:i/>
                <w:color w:val="auto"/>
              </w:rPr>
              <w:t xml:space="preserve"> energoefektivitāti, un kuras</w:t>
            </w:r>
            <w:r w:rsidRPr="00B12D38">
              <w:rPr>
                <w:color w:val="auto"/>
              </w:rPr>
              <w:t xml:space="preserve"> dod vidisku labumu,</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footerReference w:type="default" r:id="rId17"/>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207</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207</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5. pants – 1. punkts – 2. daļa</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3444E8">
            <w:pPr>
              <w:pStyle w:val="Normal6"/>
              <w:rPr>
                <w:color w:val="auto"/>
              </w:rPr>
            </w:pPr>
            <w:r w:rsidRPr="00B12D38">
              <w:rPr>
                <w:color w:val="auto"/>
              </w:rPr>
              <w:t xml:space="preserve">Dalībvalstis </w:t>
            </w:r>
            <w:r w:rsidRPr="00B12D38">
              <w:rPr>
                <w:b/>
                <w:i/>
                <w:color w:val="auto"/>
              </w:rPr>
              <w:t>starp a) un b) apakšpunktā minētajām investīcijām nodrošina pienācīgu līdzsvaru</w:t>
            </w:r>
            <w:r w:rsidRPr="00B12D38">
              <w:rPr>
                <w:color w:val="auto"/>
              </w:rPr>
              <w:t>.</w:t>
            </w:r>
          </w:p>
        </w:tc>
        <w:tc>
          <w:tcPr>
            <w:tcW w:w="4876" w:type="dxa"/>
          </w:tcPr>
          <w:p w:rsidR="00D4153E" w:rsidRPr="00B12D38" w:rsidRDefault="003444E8">
            <w:pPr>
              <w:pStyle w:val="Normal6"/>
              <w:rPr>
                <w:color w:val="auto"/>
              </w:rPr>
            </w:pPr>
            <w:r w:rsidRPr="00B12D38">
              <w:rPr>
                <w:color w:val="auto"/>
              </w:rPr>
              <w:t xml:space="preserve">Dalībvalstis </w:t>
            </w:r>
            <w:r w:rsidRPr="00B12D38">
              <w:rPr>
                <w:b/>
                <w:i/>
                <w:color w:val="auto"/>
              </w:rPr>
              <w:t>ņem vērā, ka ar vismaz 50 % investīciju saskaņā ar Kohēzijas fondu atbalsta investīcijas saskaņā ar a) apakšpunktu</w:t>
            </w:r>
            <w:r w:rsidRPr="00B12D38">
              <w:rPr>
                <w:color w:val="auto"/>
              </w:rPr>
              <w:t>.</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footerReference w:type="default" r:id="rId18"/>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208</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208</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pPr>
        <w:pStyle w:val="NormalBold"/>
        <w:rPr>
          <w:color w:val="auto"/>
        </w:rPr>
      </w:pPr>
      <w:r w:rsidRPr="00B12D38">
        <w:rPr>
          <w:rStyle w:val="HideTWBExt"/>
          <w:color w:val="auto"/>
        </w:rPr>
        <w:t>&lt;Members&gt;</w:t>
      </w:r>
      <w:r w:rsidRPr="00B12D38">
        <w:rPr>
          <w:color w:val="auto"/>
        </w:rPr>
        <w:t>Guillaume Balas, Edouard Martin, Isabelle Thomas</w:t>
      </w:r>
      <w:r w:rsidRPr="00B12D38">
        <w:rPr>
          <w:rStyle w:val="HideTWBExt"/>
          <w:color w:val="auto"/>
        </w:rPr>
        <w:t>&lt;/Members&gt;</w:t>
      </w:r>
    </w:p>
    <w:p w:rsidR="00D4153E" w:rsidRPr="00B12D38" w:rsidRDefault="003444E8">
      <w:pPr>
        <w:pStyle w:val="NormalBold"/>
        <w:rPr>
          <w:color w:val="auto"/>
        </w:rPr>
      </w:pPr>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6. pants – 1. punkts – g apakšpunkts – i punkts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D4153E">
            <w:pPr>
              <w:pStyle w:val="Normal6"/>
              <w:rPr>
                <w:color w:val="auto"/>
              </w:rPr>
            </w:pPr>
          </w:p>
        </w:tc>
        <w:tc>
          <w:tcPr>
            <w:tcW w:w="4876" w:type="dxa"/>
          </w:tcPr>
          <w:p w:rsidR="00D4153E" w:rsidRPr="00B12D38" w:rsidRDefault="003444E8">
            <w:pPr>
              <w:pStyle w:val="Normal6"/>
              <w:rPr>
                <w:color w:val="auto"/>
              </w:rPr>
            </w:pPr>
            <w:r w:rsidRPr="00B12D38">
              <w:rPr>
                <w:b/>
                <w:i/>
                <w:color w:val="auto"/>
              </w:rPr>
              <w:t>i)</w:t>
            </w:r>
            <w:r w:rsidRPr="00B12D38">
              <w:rPr>
                <w:color w:val="auto"/>
              </w:rPr>
              <w:tab/>
            </w:r>
            <w:r w:rsidRPr="00B12D38">
              <w:rPr>
                <w:b/>
                <w:i/>
                <w:color w:val="auto"/>
              </w:rPr>
              <w:t>par atkritumu atlikām galvenokārt būtu jāuzskata nešķiroti sadzīves atkritumi un atkritumu apstrādes pārpalikumi,</w:t>
            </w: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sectPr w:rsidR="00D4153E" w:rsidRPr="00B12D38">
          <w:footerReference w:type="default" r:id="rId19"/>
          <w:pgSz w:w="11906" w:h="16838"/>
          <w:pgMar w:top="1134" w:right="1417" w:bottom="1417" w:left="1417" w:header="1134" w:footer="567" w:gutter="0"/>
          <w:cols w:space="708"/>
          <w:docGrid w:linePitch="360"/>
        </w:sectPr>
      </w:pPr>
      <w:r w:rsidRPr="00B12D38">
        <w:rPr>
          <w:rStyle w:val="HideTWBExt"/>
          <w:color w:val="auto"/>
        </w:rPr>
        <w:t>&lt;/Amend&gt;</w:t>
      </w:r>
    </w:p>
    <w:p w:rsidR="00D4153E" w:rsidRPr="00B12D38" w:rsidRDefault="003444E8">
      <w:pPr>
        <w:pStyle w:val="Interstitial1"/>
        <w:rPr>
          <w:color w:val="auto"/>
        </w:rPr>
      </w:pPr>
      <w:r w:rsidRPr="00B12D38">
        <w:rPr>
          <w:rStyle w:val="HideTWBExt"/>
          <w:color w:val="auto"/>
        </w:rPr>
        <w:lastRenderedPageBreak/>
        <w:t>&lt;Amend&gt;&lt;Date&gt;</w:t>
      </w:r>
      <w:r w:rsidRPr="00B12D38">
        <w:rPr>
          <w:rStyle w:val="HideTWBInt"/>
          <w:color w:val="auto"/>
        </w:rPr>
        <w:t>{21/03/2019}</w:t>
      </w:r>
      <w:r w:rsidRPr="00B12D38">
        <w:rPr>
          <w:color w:val="auto"/>
        </w:rPr>
        <w:t>21.3.2019</w:t>
      </w:r>
      <w:r w:rsidRPr="00B12D38">
        <w:rPr>
          <w:rStyle w:val="HideTWBExt"/>
          <w:color w:val="auto"/>
        </w:rPr>
        <w:t>&lt;/Date&gt;</w:t>
      </w:r>
      <w:r w:rsidRPr="00B12D38">
        <w:rPr>
          <w:color w:val="auto"/>
        </w:rPr>
        <w:tab/>
      </w:r>
      <w:r w:rsidRPr="00B12D38">
        <w:rPr>
          <w:rStyle w:val="HideTWBExt"/>
          <w:color w:val="auto"/>
        </w:rPr>
        <w:t>&lt;ANo&gt;</w:t>
      </w:r>
      <w:r w:rsidRPr="00B12D38">
        <w:rPr>
          <w:color w:val="auto"/>
        </w:rPr>
        <w:t>A8-0094</w:t>
      </w:r>
      <w:r w:rsidRPr="00B12D38">
        <w:rPr>
          <w:rStyle w:val="HideTWBExt"/>
          <w:color w:val="auto"/>
        </w:rPr>
        <w:t>&lt;/ANo&gt;</w:t>
      </w:r>
      <w:r w:rsidRPr="00B12D38">
        <w:rPr>
          <w:color w:val="auto"/>
        </w:rPr>
        <w:t>/</w:t>
      </w:r>
      <w:r w:rsidRPr="00B12D38">
        <w:rPr>
          <w:rStyle w:val="HideTWBExt"/>
          <w:color w:val="auto"/>
        </w:rPr>
        <w:t>&lt;NumAm&gt;</w:t>
      </w:r>
      <w:r w:rsidRPr="00B12D38">
        <w:rPr>
          <w:color w:val="auto"/>
        </w:rPr>
        <w:t>209</w:t>
      </w:r>
      <w:r w:rsidRPr="00B12D38">
        <w:rPr>
          <w:rStyle w:val="HideTWBExt"/>
          <w:color w:val="auto"/>
        </w:rPr>
        <w:t>&lt;/NumAm&gt;</w:t>
      </w:r>
    </w:p>
    <w:p w:rsidR="00D4153E" w:rsidRPr="00B12D38" w:rsidRDefault="003444E8">
      <w:pPr>
        <w:pStyle w:val="AMNumberTabs"/>
        <w:rPr>
          <w:color w:val="auto"/>
        </w:rPr>
      </w:pPr>
      <w:r w:rsidRPr="00B12D38">
        <w:rPr>
          <w:color w:val="auto"/>
        </w:rPr>
        <w:t>Grozījums Nr.</w:t>
      </w:r>
      <w:r w:rsidRPr="00B12D38">
        <w:rPr>
          <w:color w:val="auto"/>
        </w:rPr>
        <w:tab/>
      </w:r>
      <w:r w:rsidRPr="00B12D38">
        <w:rPr>
          <w:color w:val="auto"/>
        </w:rPr>
        <w:tab/>
      </w:r>
      <w:r w:rsidRPr="00B12D38">
        <w:rPr>
          <w:rStyle w:val="HideTWBExt"/>
          <w:color w:val="auto"/>
        </w:rPr>
        <w:t>&lt;NumAm&gt;</w:t>
      </w:r>
      <w:r w:rsidRPr="00B12D38">
        <w:rPr>
          <w:color w:val="auto"/>
        </w:rPr>
        <w:t>209</w:t>
      </w:r>
      <w:r w:rsidRPr="00B12D38">
        <w:rPr>
          <w:rStyle w:val="HideTWBExt"/>
          <w:color w:val="auto"/>
        </w:rPr>
        <w:t>&lt;/NumAm&gt;</w:t>
      </w:r>
    </w:p>
    <w:p w:rsidR="00D4153E" w:rsidRPr="00B12D38" w:rsidRDefault="003444E8">
      <w:pPr>
        <w:pStyle w:val="NormalBold"/>
        <w:rPr>
          <w:color w:val="auto"/>
        </w:rPr>
      </w:pPr>
      <w:r w:rsidRPr="00B12D38">
        <w:rPr>
          <w:rStyle w:val="HideTWBExt"/>
          <w:color w:val="auto"/>
        </w:rPr>
        <w:t>&lt;RepeatBlock-By&gt;&lt;Members&gt;</w:t>
      </w:r>
      <w:r w:rsidRPr="00B12D38">
        <w:rPr>
          <w:color w:val="auto"/>
        </w:rPr>
        <w:t>Davor Škrlec</w:t>
      </w:r>
      <w:r w:rsidRPr="00B12D38">
        <w:rPr>
          <w:rStyle w:val="HideTWBExt"/>
          <w:color w:val="auto"/>
        </w:rPr>
        <w:t>&lt;/Members&gt;</w:t>
      </w:r>
    </w:p>
    <w:p w:rsidR="00D4153E" w:rsidRPr="00B12D38" w:rsidRDefault="003444E8">
      <w:r w:rsidRPr="00B12D38">
        <w:rPr>
          <w:rStyle w:val="HideTWBExt"/>
          <w:color w:val="auto"/>
        </w:rPr>
        <w:t>&lt;AuNomDe&gt;</w:t>
      </w:r>
      <w:r w:rsidRPr="00B12D38">
        <w:rPr>
          <w:rStyle w:val="HideTWBInt"/>
          <w:color w:val="auto"/>
        </w:rPr>
        <w:t>{Verts/ALE}</w:t>
      </w:r>
      <w:r w:rsidRPr="00B12D38">
        <w:t>Verts/ALE grupas vārdā</w:t>
      </w:r>
      <w:r w:rsidRPr="00B12D38">
        <w:rPr>
          <w:rStyle w:val="HideTWBExt"/>
          <w:color w:val="auto"/>
        </w:rPr>
        <w:t>&lt;/AuNomDe&gt;</w:t>
      </w:r>
    </w:p>
    <w:p w:rsidR="00D4153E" w:rsidRPr="00B12D38" w:rsidRDefault="003444E8">
      <w:r w:rsidRPr="00B12D38">
        <w:rPr>
          <w:rStyle w:val="HideTWBExt"/>
          <w:color w:val="auto"/>
        </w:rPr>
        <w:t>&lt;/RepeatBlock-By&gt;</w:t>
      </w:r>
    </w:p>
    <w:p w:rsidR="00D4153E" w:rsidRPr="00B12D38" w:rsidRDefault="003444E8">
      <w:pPr>
        <w:pStyle w:val="ProjRap"/>
      </w:pPr>
      <w:r w:rsidRPr="00B12D38">
        <w:rPr>
          <w:rStyle w:val="HideTWBExt"/>
          <w:color w:val="auto"/>
        </w:rPr>
        <w:t>&lt;TitreType&gt;</w:t>
      </w:r>
      <w:r w:rsidRPr="00B12D38">
        <w:t>Ziņojums</w:t>
      </w:r>
      <w:r w:rsidRPr="00B12D38">
        <w:rPr>
          <w:rStyle w:val="HideTWBExt"/>
          <w:color w:val="auto"/>
        </w:rPr>
        <w:t>&lt;/TitreType&gt;</w:t>
      </w:r>
      <w:r w:rsidRPr="00B12D38">
        <w:tab/>
        <w:t>A8-0094/2019</w:t>
      </w:r>
    </w:p>
    <w:p w:rsidR="00D4153E" w:rsidRPr="00B12D38" w:rsidRDefault="003444E8">
      <w:pPr>
        <w:pStyle w:val="NormalBold"/>
        <w:rPr>
          <w:color w:val="auto"/>
        </w:rPr>
      </w:pPr>
      <w:r w:rsidRPr="00B12D38">
        <w:rPr>
          <w:rStyle w:val="HideTWBExt"/>
          <w:color w:val="auto"/>
        </w:rPr>
        <w:t>&lt;Rapporteur&gt;</w:t>
      </w:r>
      <w:r w:rsidRPr="00B12D38">
        <w:rPr>
          <w:color w:val="auto"/>
        </w:rPr>
        <w:t>Andrea Cozzolino</w:t>
      </w:r>
      <w:r w:rsidRPr="00B12D38">
        <w:rPr>
          <w:rStyle w:val="HideTWBExt"/>
          <w:color w:val="auto"/>
        </w:rPr>
        <w:t>&lt;/Rapporteur&gt;</w:t>
      </w:r>
    </w:p>
    <w:p w:rsidR="00D4153E" w:rsidRPr="00B12D38" w:rsidRDefault="003444E8">
      <w:pPr>
        <w:pStyle w:val="Normal12"/>
        <w:rPr>
          <w:color w:val="auto"/>
        </w:rPr>
      </w:pPr>
      <w:r w:rsidRPr="00B12D38">
        <w:rPr>
          <w:rStyle w:val="HideTWBExt"/>
          <w:color w:val="auto"/>
        </w:rPr>
        <w:t>&lt;Titre&gt;</w:t>
      </w:r>
      <w:r w:rsidRPr="00B12D38">
        <w:rPr>
          <w:color w:val="auto"/>
        </w:rPr>
        <w:t>Eiropas Reģionālās attīstības fonds un Kohēzijas fonds</w:t>
      </w:r>
      <w:r w:rsidRPr="00B12D38">
        <w:rPr>
          <w:rStyle w:val="HideTWBExt"/>
          <w:color w:val="auto"/>
        </w:rPr>
        <w:t>&lt;/Titre&gt;</w:t>
      </w:r>
    </w:p>
    <w:p w:rsidR="00D4153E" w:rsidRPr="00B12D38" w:rsidRDefault="003444E8">
      <w:pPr>
        <w:pStyle w:val="Normal12"/>
        <w:rPr>
          <w:color w:val="auto"/>
        </w:rPr>
      </w:pPr>
      <w:r w:rsidRPr="00B12D38">
        <w:rPr>
          <w:rStyle w:val="HideTWBExt"/>
          <w:color w:val="auto"/>
        </w:rPr>
        <w:t>&lt;DocRef&gt;</w:t>
      </w:r>
      <w:r w:rsidRPr="00B12D38">
        <w:rPr>
          <w:color w:val="auto"/>
        </w:rPr>
        <w:t>(COM(2018)0372 – C8-0227/2018 – 2018/0197(COD))</w:t>
      </w:r>
      <w:r w:rsidRPr="00B12D38">
        <w:rPr>
          <w:rStyle w:val="HideTWBExt"/>
          <w:color w:val="auto"/>
        </w:rPr>
        <w:t>&lt;/DocRef&gt;</w:t>
      </w:r>
    </w:p>
    <w:p w:rsidR="00D4153E" w:rsidRPr="00B12D38" w:rsidRDefault="00D4153E">
      <w:pPr>
        <w:pStyle w:val="Normal12"/>
        <w:rPr>
          <w:color w:val="auto"/>
        </w:rPr>
      </w:pPr>
    </w:p>
    <w:p w:rsidR="00D4153E" w:rsidRPr="00B12D38" w:rsidRDefault="003444E8">
      <w:pPr>
        <w:pStyle w:val="NormalBold"/>
        <w:rPr>
          <w:color w:val="auto"/>
        </w:rPr>
      </w:pPr>
      <w:r w:rsidRPr="00B12D38">
        <w:rPr>
          <w:rStyle w:val="HideTWBExt"/>
          <w:color w:val="auto"/>
        </w:rPr>
        <w:t>&lt;DocAmend&gt;</w:t>
      </w:r>
      <w:r w:rsidRPr="00B12D38">
        <w:rPr>
          <w:color w:val="auto"/>
        </w:rPr>
        <w:t>Regulas priekšlikums</w:t>
      </w:r>
      <w:r w:rsidRPr="00B12D38">
        <w:rPr>
          <w:rStyle w:val="HideTWBExt"/>
          <w:color w:val="auto"/>
        </w:rPr>
        <w:t>&lt;/DocAmend&gt;</w:t>
      </w:r>
    </w:p>
    <w:p w:rsidR="00D4153E" w:rsidRPr="00B12D38" w:rsidRDefault="003444E8">
      <w:pPr>
        <w:pStyle w:val="NormalBold"/>
        <w:rPr>
          <w:color w:val="auto"/>
        </w:rPr>
      </w:pPr>
      <w:r w:rsidRPr="00B12D38">
        <w:rPr>
          <w:rStyle w:val="HideTWBExt"/>
          <w:color w:val="auto"/>
        </w:rPr>
        <w:t>&lt;Article&gt;</w:t>
      </w:r>
      <w:r w:rsidRPr="00B12D38">
        <w:rPr>
          <w:color w:val="auto"/>
        </w:rPr>
        <w:t>6. pants – 1. punkts – h apakšpunkts</w:t>
      </w:r>
      <w:r w:rsidRPr="00B12D38">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2D38" w:rsidRPr="00B12D38">
        <w:trPr>
          <w:trHeight w:hRule="exact" w:val="240"/>
          <w:jc w:val="center"/>
        </w:trPr>
        <w:tc>
          <w:tcPr>
            <w:tcW w:w="9752" w:type="dxa"/>
            <w:gridSpan w:val="2"/>
          </w:tcPr>
          <w:p w:rsidR="00D4153E" w:rsidRPr="00B12D38" w:rsidRDefault="00D4153E"/>
        </w:tc>
      </w:tr>
      <w:tr w:rsidR="00B12D38" w:rsidRPr="00B12D38">
        <w:trPr>
          <w:trHeight w:val="240"/>
          <w:jc w:val="center"/>
        </w:trPr>
        <w:tc>
          <w:tcPr>
            <w:tcW w:w="4876" w:type="dxa"/>
          </w:tcPr>
          <w:p w:rsidR="00D4153E" w:rsidRPr="00B12D38" w:rsidRDefault="003444E8">
            <w:pPr>
              <w:pStyle w:val="ColumnHeading"/>
              <w:rPr>
                <w:color w:val="auto"/>
              </w:rPr>
            </w:pPr>
            <w:r w:rsidRPr="00B12D38">
              <w:rPr>
                <w:color w:val="auto"/>
              </w:rPr>
              <w:t>Komisijas ierosinātais teksts</w:t>
            </w:r>
          </w:p>
        </w:tc>
        <w:tc>
          <w:tcPr>
            <w:tcW w:w="4876" w:type="dxa"/>
          </w:tcPr>
          <w:p w:rsidR="00D4153E" w:rsidRPr="00B12D38" w:rsidRDefault="003444E8">
            <w:pPr>
              <w:pStyle w:val="ColumnHeading"/>
              <w:rPr>
                <w:color w:val="auto"/>
              </w:rPr>
            </w:pPr>
            <w:r w:rsidRPr="00B12D38">
              <w:rPr>
                <w:color w:val="auto"/>
              </w:rPr>
              <w:t>Grozījums</w:t>
            </w:r>
          </w:p>
        </w:tc>
      </w:tr>
      <w:tr w:rsidR="00B12D38" w:rsidRPr="00B12D38">
        <w:trPr>
          <w:jc w:val="center"/>
        </w:trPr>
        <w:tc>
          <w:tcPr>
            <w:tcW w:w="4876" w:type="dxa"/>
          </w:tcPr>
          <w:p w:rsidR="00D4153E" w:rsidRPr="00B12D38" w:rsidRDefault="003444E8">
            <w:pPr>
              <w:pStyle w:val="Normal6"/>
              <w:rPr>
                <w:color w:val="auto"/>
              </w:rPr>
            </w:pPr>
            <w:r w:rsidRPr="00B12D38">
              <w:rPr>
                <w:color w:val="auto"/>
              </w:rPr>
              <w:t>(h)</w:t>
            </w:r>
            <w:r w:rsidRPr="00B12D38">
              <w:rPr>
                <w:color w:val="auto"/>
              </w:rPr>
              <w:tab/>
              <w:t>investīcijas, kas saistītas ar fosilo kurināmo ražošanu, apstrādi, izplatīšanu, glabāšanu vai sadedzināšanu</w:t>
            </w:r>
            <w:r w:rsidRPr="00B12D38">
              <w:rPr>
                <w:b/>
                <w:i/>
                <w:color w:val="auto"/>
              </w:rPr>
              <w:t>, izņemot investīcijas, kas saistītas ar tīrajiem transportlīdzekļiem, kas definēti Eiropas Parlamenta un Padomes Direktīvas 2009/33/EK</w:t>
            </w:r>
            <w:r w:rsidRPr="00B12D38">
              <w:rPr>
                <w:rStyle w:val="SupBoldItalic"/>
                <w:color w:val="auto"/>
              </w:rPr>
              <w:t>26</w:t>
            </w:r>
            <w:r w:rsidRPr="00B12D38">
              <w:rPr>
                <w:b/>
                <w:i/>
                <w:color w:val="auto"/>
              </w:rPr>
              <w:t xml:space="preserve"> 4. pantā</w:t>
            </w:r>
            <w:r w:rsidRPr="00B12D38">
              <w:rPr>
                <w:color w:val="auto"/>
              </w:rPr>
              <w:t>,</w:t>
            </w:r>
          </w:p>
        </w:tc>
        <w:tc>
          <w:tcPr>
            <w:tcW w:w="4876" w:type="dxa"/>
          </w:tcPr>
          <w:p w:rsidR="00D4153E" w:rsidRPr="00B12D38" w:rsidRDefault="003444E8">
            <w:pPr>
              <w:pStyle w:val="Normal6"/>
              <w:rPr>
                <w:color w:val="auto"/>
              </w:rPr>
            </w:pPr>
            <w:r w:rsidRPr="00B12D38">
              <w:rPr>
                <w:color w:val="auto"/>
              </w:rPr>
              <w:t>(h)</w:t>
            </w:r>
            <w:r w:rsidRPr="00B12D38">
              <w:rPr>
                <w:color w:val="auto"/>
              </w:rPr>
              <w:tab/>
              <w:t xml:space="preserve">investīcijas, kas saistītas ar fosilo kurināmo ražošanu, apstrādi, </w:t>
            </w:r>
            <w:r w:rsidRPr="00B12D38">
              <w:rPr>
                <w:b/>
                <w:i/>
                <w:color w:val="auto"/>
              </w:rPr>
              <w:t>transport</w:t>
            </w:r>
            <w:r w:rsidR="00B12D38">
              <w:rPr>
                <w:b/>
                <w:i/>
                <w:color w:val="auto"/>
              </w:rPr>
              <w:t>ēšan</w:t>
            </w:r>
            <w:r w:rsidRPr="00B12D38">
              <w:rPr>
                <w:b/>
                <w:i/>
                <w:color w:val="auto"/>
              </w:rPr>
              <w:t xml:space="preserve">u, </w:t>
            </w:r>
            <w:r w:rsidRPr="00B12D38">
              <w:rPr>
                <w:color w:val="auto"/>
              </w:rPr>
              <w:t>izplatīšanu, glabāšanu vai sadedzināšanu,</w:t>
            </w:r>
          </w:p>
        </w:tc>
      </w:tr>
      <w:tr w:rsidR="00B12D38" w:rsidRPr="00B12D38">
        <w:trPr>
          <w:jc w:val="center"/>
        </w:trPr>
        <w:tc>
          <w:tcPr>
            <w:tcW w:w="4876" w:type="dxa"/>
          </w:tcPr>
          <w:p w:rsidR="00D4153E" w:rsidRPr="00B12D38" w:rsidRDefault="003444E8">
            <w:pPr>
              <w:pStyle w:val="Normal6"/>
              <w:rPr>
                <w:color w:val="auto"/>
              </w:rPr>
            </w:pPr>
            <w:r w:rsidRPr="00B12D38">
              <w:rPr>
                <w:color w:val="auto"/>
              </w:rPr>
              <w:t>_________________</w:t>
            </w:r>
          </w:p>
        </w:tc>
        <w:tc>
          <w:tcPr>
            <w:tcW w:w="4876" w:type="dxa"/>
          </w:tcPr>
          <w:p w:rsidR="00D4153E" w:rsidRPr="00B12D38" w:rsidRDefault="00D4153E">
            <w:pPr>
              <w:pStyle w:val="Normal6"/>
              <w:rPr>
                <w:color w:val="auto"/>
              </w:rPr>
            </w:pPr>
          </w:p>
        </w:tc>
      </w:tr>
      <w:tr w:rsidR="00B12D38" w:rsidRPr="00B12D38">
        <w:trPr>
          <w:jc w:val="center"/>
        </w:trPr>
        <w:tc>
          <w:tcPr>
            <w:tcW w:w="4876" w:type="dxa"/>
          </w:tcPr>
          <w:p w:rsidR="00D4153E" w:rsidRPr="00B12D38" w:rsidRDefault="003444E8">
            <w:pPr>
              <w:pStyle w:val="Normal6"/>
              <w:rPr>
                <w:color w:val="auto"/>
              </w:rPr>
            </w:pPr>
            <w:r w:rsidRPr="00B12D38">
              <w:rPr>
                <w:rStyle w:val="SupBoldItalic"/>
                <w:color w:val="auto"/>
              </w:rPr>
              <w:t>26</w:t>
            </w:r>
            <w:r w:rsidRPr="00B12D38">
              <w:rPr>
                <w:b/>
                <w:i/>
                <w:color w:val="auto"/>
              </w:rPr>
              <w:t xml:space="preserve"> Eiropas Parlamenta un Padomes 2009. gada 23. aprīļa Direktīva 2009/33/EK par “tīro” un energoefektīvo autotransporta līdzekļu izmantošanas veicināšanu (OV L 120, 15.5.2009., 5. lpp.).</w:t>
            </w:r>
          </w:p>
        </w:tc>
        <w:tc>
          <w:tcPr>
            <w:tcW w:w="4876" w:type="dxa"/>
          </w:tcPr>
          <w:p w:rsidR="00D4153E" w:rsidRPr="00B12D38" w:rsidRDefault="00D4153E">
            <w:pPr>
              <w:pStyle w:val="Normal6"/>
              <w:rPr>
                <w:color w:val="auto"/>
              </w:rPr>
            </w:pPr>
          </w:p>
        </w:tc>
      </w:tr>
    </w:tbl>
    <w:p w:rsidR="00D4153E" w:rsidRPr="00B12D38" w:rsidRDefault="003444E8" w:rsidP="0072183A">
      <w:pPr>
        <w:pStyle w:val="Olang"/>
        <w:rPr>
          <w:color w:val="auto"/>
        </w:rPr>
      </w:pPr>
      <w:r w:rsidRPr="00B12D38">
        <w:rPr>
          <w:color w:val="auto"/>
        </w:rPr>
        <w:t xml:space="preserve">Or. </w:t>
      </w:r>
      <w:r w:rsidRPr="00B12D38">
        <w:rPr>
          <w:rStyle w:val="HideTWBExt"/>
          <w:color w:val="auto"/>
        </w:rPr>
        <w:t>&lt;Original&gt;</w:t>
      </w:r>
      <w:r w:rsidRPr="00B12D38">
        <w:rPr>
          <w:rStyle w:val="HideTWBInt"/>
          <w:color w:val="auto"/>
        </w:rPr>
        <w:t>{EN}</w:t>
      </w:r>
      <w:r w:rsidRPr="00B12D38">
        <w:rPr>
          <w:color w:val="auto"/>
        </w:rPr>
        <w:t>en</w:t>
      </w:r>
      <w:r w:rsidRPr="00B12D38">
        <w:rPr>
          <w:rStyle w:val="HideTWBExt"/>
          <w:color w:val="auto"/>
        </w:rPr>
        <w:t>&lt;/Original&gt;</w:t>
      </w:r>
    </w:p>
    <w:p w:rsidR="00D4153E" w:rsidRPr="00B12D38" w:rsidRDefault="003444E8">
      <w:pPr>
        <w:pStyle w:val="Olang"/>
        <w:rPr>
          <w:color w:val="auto"/>
        </w:rPr>
      </w:pPr>
      <w:r w:rsidRPr="00B12D38">
        <w:rPr>
          <w:rStyle w:val="HideTWBExt"/>
          <w:color w:val="auto"/>
        </w:rPr>
        <w:t>&lt;/Amend&gt;&lt;/RepeatBlock-Amend&gt;</w:t>
      </w:r>
    </w:p>
    <w:sectPr w:rsidR="00D4153E" w:rsidRPr="00B12D38">
      <w:footerReference w:type="defaul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F6" w:rsidRPr="00A413BD" w:rsidRDefault="003444E8">
      <w:r w:rsidRPr="00A413BD">
        <w:separator/>
      </w:r>
    </w:p>
  </w:endnote>
  <w:endnote w:type="continuationSeparator" w:id="0">
    <w:p w:rsidR="00621AF6" w:rsidRPr="00A413BD" w:rsidRDefault="003444E8">
      <w:r w:rsidRPr="00A413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38" w:rsidRDefault="00B12D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Pr="00A413BD" w:rsidRDefault="00A413BD" w:rsidP="00A413BD">
    <w:pPr>
      <w:pStyle w:val="Footer"/>
    </w:pPr>
    <w:r w:rsidRPr="00A413BD">
      <w:rPr>
        <w:rStyle w:val="HideTWBExt"/>
      </w:rPr>
      <w:t>&lt;PathFdR&gt;</w:t>
    </w:r>
    <w:r w:rsidRPr="00A413BD">
      <w:t>AM\1180382LV.docx</w:t>
    </w:r>
    <w:r w:rsidRPr="00A413BD">
      <w:rPr>
        <w:rStyle w:val="HideTWBExt"/>
      </w:rPr>
      <w:t>&lt;/PathFdR&gt;</w:t>
    </w:r>
    <w:r w:rsidRPr="00A413BD">
      <w:tab/>
    </w:r>
    <w:r w:rsidRPr="00A413BD">
      <w:tab/>
      <w:t>PE</w:t>
    </w:r>
    <w:r w:rsidRPr="00A413BD">
      <w:rPr>
        <w:rStyle w:val="HideTWBExt"/>
      </w:rPr>
      <w:t>&lt;NoPE&gt;</w:t>
    </w:r>
    <w:r w:rsidRPr="00A413BD">
      <w:t>635.495</w:t>
    </w:r>
    <w:r w:rsidRPr="00A413BD">
      <w:rPr>
        <w:rStyle w:val="HideTWBExt"/>
      </w:rPr>
      <w:t>&lt;/NoPE&gt;&lt;Version&gt;</w:t>
    </w:r>
    <w:r w:rsidRPr="00A413BD">
      <w:t>v01-00</w:t>
    </w:r>
    <w:r w:rsidRPr="00A413BD">
      <w:rPr>
        <w:rStyle w:val="HideTWBExt"/>
      </w:rPr>
      <w:t>&lt;/Version&gt;</w:t>
    </w:r>
  </w:p>
  <w:p w:rsidR="00D4153E" w:rsidRPr="00A413BD" w:rsidRDefault="00A413BD" w:rsidP="00A413BD">
    <w:pPr>
      <w:pStyle w:val="Footer2"/>
      <w:tabs>
        <w:tab w:val="center" w:pos="4535"/>
      </w:tabs>
    </w:pPr>
    <w:r w:rsidRPr="00A413BD">
      <w:t>LV</w:t>
    </w:r>
    <w:r w:rsidRPr="00A413BD">
      <w:tab/>
    </w:r>
    <w:r w:rsidRPr="00A413BD">
      <w:rPr>
        <w:b w:val="0"/>
        <w:i/>
        <w:color w:val="C0C0C0"/>
        <w:sz w:val="22"/>
      </w:rPr>
      <w:t>Vienoti daudzveidībā</w:t>
    </w:r>
    <w:r w:rsidRPr="00A413BD">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38" w:rsidRDefault="00B12D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BD" w:rsidRDefault="00A413BD" w:rsidP="00A413BD">
    <w:pPr>
      <w:pStyle w:val="Footer"/>
    </w:pPr>
    <w:r w:rsidRPr="00A413BD">
      <w:rPr>
        <w:rStyle w:val="HideTWBExt"/>
      </w:rPr>
      <w:t>&lt;PathFdR&gt;</w:t>
    </w:r>
    <w:r>
      <w:t>AM\1180382LV.docx</w:t>
    </w:r>
    <w:r w:rsidRPr="00A413BD">
      <w:rPr>
        <w:rStyle w:val="HideTWBExt"/>
      </w:rPr>
      <w:t>&lt;/PathFdR&gt;</w:t>
    </w:r>
    <w:r>
      <w:tab/>
    </w:r>
    <w:r>
      <w:tab/>
      <w:t>PE</w:t>
    </w:r>
    <w:r w:rsidRPr="00A413BD">
      <w:rPr>
        <w:rStyle w:val="HideTWBExt"/>
      </w:rPr>
      <w:t>&lt;NoPE&gt;</w:t>
    </w:r>
    <w:r>
      <w:t>635.495</w:t>
    </w:r>
    <w:r w:rsidRPr="00A413BD">
      <w:rPr>
        <w:rStyle w:val="HideTWBExt"/>
      </w:rPr>
      <w:t>&lt;/NoPE&gt;&lt;Version&gt;</w:t>
    </w:r>
    <w:r>
      <w:t>v01-00</w:t>
    </w:r>
    <w:r w:rsidRPr="00A413BD">
      <w:rPr>
        <w:rStyle w:val="HideTWBExt"/>
      </w:rPr>
      <w:t>&lt;/Version&gt;</w:t>
    </w:r>
  </w:p>
  <w:p w:rsidR="00D4153E" w:rsidRDefault="00A413BD" w:rsidP="00A413BD">
    <w:pPr>
      <w:pStyle w:val="Footer2"/>
      <w:tabs>
        <w:tab w:val="center" w:pos="4535"/>
      </w:tabs>
    </w:pPr>
    <w:r>
      <w:t>LV</w:t>
    </w:r>
    <w:r>
      <w:tab/>
    </w:r>
    <w:r w:rsidRPr="00A413BD">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F6" w:rsidRPr="00A413BD" w:rsidRDefault="003444E8">
      <w:r w:rsidRPr="00A413BD">
        <w:separator/>
      </w:r>
    </w:p>
  </w:footnote>
  <w:footnote w:type="continuationSeparator" w:id="0">
    <w:p w:rsidR="00621AF6" w:rsidRPr="00A413BD" w:rsidRDefault="003444E8">
      <w:r w:rsidRPr="00A413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38" w:rsidRDefault="00B1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38" w:rsidRDefault="00B12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38" w:rsidRDefault="00B12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LV"/>
    <w:docVar w:name="TXTLANGUEMIN" w:val="lv"/>
    <w:docVar w:name="TXTNRPE" w:val="635.495"/>
    <w:docVar w:name="TXTPEorAP" w:val="PE"/>
    <w:docVar w:name="TXTROUTE" w:val="AM\1180382LV.docx"/>
    <w:docVar w:name="TXTVERSION" w:val="01-00"/>
  </w:docVars>
  <w:rsids>
    <w:rsidRoot w:val="00D4153E"/>
    <w:rsid w:val="003444E8"/>
    <w:rsid w:val="00621AF6"/>
    <w:rsid w:val="0072183A"/>
    <w:rsid w:val="00820F03"/>
    <w:rsid w:val="00A21AE9"/>
    <w:rsid w:val="00A413BD"/>
    <w:rsid w:val="00B12D38"/>
    <w:rsid w:val="00D4153E"/>
    <w:rsid w:val="00E470CD"/>
    <w:rsid w:val="00FB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98F71-BFE5-4E9E-BF52-7DC3436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1379</Words>
  <Characters>12717</Characters>
  <Application>Microsoft Office Word</Application>
  <DocSecurity>0</DocSecurity>
  <Lines>529</Lines>
  <Paragraphs>293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ILZINS Vilnis</cp:lastModifiedBy>
  <cp:revision>2</cp:revision>
  <dcterms:created xsi:type="dcterms:W3CDTF">2019-03-25T10:54:00Z</dcterms:created>
  <dcterms:modified xsi:type="dcterms:W3CDTF">2019-03-25T10:54:00Z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1180382</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20190321-120936-019004-601382</vt:lpwstr>
  </property>
  <property fmtid="{D5CDD505-2E9C-101B-9397-08002B2CF9AE}" pid="6" name="FooterPath">
    <vt:lpwstr>AM\1180382LV.docx</vt:lpwstr>
  </property>
  <property fmtid="{D5CDD505-2E9C-101B-9397-08002B2CF9AE}" pid="7" name="PE Number">
    <vt:lpwstr>635.495</vt:lpwstr>
  </property>
  <property fmtid="{D5CDD505-2E9C-101B-9397-08002B2CF9AE}" pid="8" name="UID">
    <vt:lpwstr>eu.europa.europarl-DIN1-2019-0000013501_01.00-en-01.00_text-xml</vt:lpwstr>
  </property>
  <property fmtid="{D5CDD505-2E9C-101B-9397-08002B2CF9AE}" pid="9" name="SDLStudio">
    <vt:lpwstr/>
  </property>
  <property fmtid="{D5CDD505-2E9C-101B-9397-08002B2CF9AE}" pid="10" name="&lt;Extension&gt;">
    <vt:lpwstr>LV</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- 2019/03/25 11:54</vt:lpwstr>
  </property>
</Properties>
</file>