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A22488" w:rsidRDefault="001E4C72">
      <w:pPr>
        <w:pStyle w:val="Interstitial1"/>
      </w:pPr>
      <w:r w:rsidRPr="00A22488">
        <w:rPr>
          <w:rStyle w:val="HideTWBExt"/>
        </w:rPr>
        <w:t>&lt;RepeatBlock-Amend&gt;&lt;Amend&gt;&lt;Date&gt;</w:t>
      </w:r>
      <w:r w:rsidRPr="00A22488">
        <w:rPr>
          <w:rStyle w:val="HideTWBInt"/>
          <w:color w:val="auto"/>
        </w:rPr>
        <w:t>{21/03/2019}</w:t>
      </w:r>
      <w:r w:rsidRPr="00A22488">
        <w:rPr>
          <w:color w:val="auto"/>
        </w:rPr>
        <w:t>21.3.2019</w:t>
      </w:r>
      <w:r w:rsidRPr="00A22488">
        <w:rPr>
          <w:rStyle w:val="HideTWBExt"/>
        </w:rPr>
        <w:t>&lt;/Date&gt;</w:t>
      </w:r>
      <w:r w:rsidRPr="00A22488">
        <w:rPr>
          <w:color w:val="auto"/>
        </w:rPr>
        <w:tab/>
      </w:r>
      <w:r w:rsidRPr="00A22488">
        <w:rPr>
          <w:rStyle w:val="HideTWBExt"/>
        </w:rPr>
        <w:t>&lt;ANo&gt;</w:t>
      </w:r>
      <w:r w:rsidRPr="00A22488">
        <w:rPr>
          <w:color w:val="auto"/>
        </w:rPr>
        <w:t>A8-0174</w:t>
      </w:r>
      <w:r w:rsidRPr="00A22488">
        <w:rPr>
          <w:rStyle w:val="HideTWBExt"/>
        </w:rPr>
        <w:t>&lt;/ANo&gt;</w:t>
      </w:r>
      <w:r w:rsidRPr="00A22488">
        <w:rPr>
          <w:color w:val="auto"/>
        </w:rPr>
        <w:t>/</w:t>
      </w:r>
      <w:r w:rsidRPr="00A22488">
        <w:rPr>
          <w:rStyle w:val="HideTWBExt"/>
        </w:rPr>
        <w:t>&lt;NumAm&gt;</w:t>
      </w:r>
      <w:r w:rsidRPr="00A22488">
        <w:rPr>
          <w:color w:val="auto"/>
        </w:rPr>
        <w:t>124</w:t>
      </w:r>
      <w:r w:rsidRPr="00A22488">
        <w:rPr>
          <w:rStyle w:val="HideTWBExt"/>
        </w:rPr>
        <w:t>&lt;/NumAm&gt;</w:t>
      </w:r>
    </w:p>
    <w:p w:rsidR="00AB6CEC" w:rsidRPr="00A22488" w:rsidRDefault="001E4C72">
      <w:pPr>
        <w:pStyle w:val="AMNumberTabs"/>
      </w:pPr>
      <w:r w:rsidRPr="00A22488">
        <w:rPr>
          <w:color w:val="auto"/>
        </w:rPr>
        <w:t>Emendamento</w:t>
      </w:r>
      <w:r w:rsidRPr="00A22488">
        <w:rPr>
          <w:color w:val="auto"/>
        </w:rPr>
        <w:tab/>
      </w:r>
      <w:r w:rsidRPr="00A22488">
        <w:rPr>
          <w:color w:val="auto"/>
        </w:rPr>
        <w:tab/>
      </w:r>
      <w:r w:rsidRPr="00A22488">
        <w:rPr>
          <w:rStyle w:val="HideTWBExt"/>
        </w:rPr>
        <w:t>&lt;NumAm&gt;</w:t>
      </w:r>
      <w:r w:rsidRPr="00A22488">
        <w:rPr>
          <w:color w:val="auto"/>
        </w:rPr>
        <w:t>124</w:t>
      </w:r>
      <w:r w:rsidRPr="00A22488">
        <w:rPr>
          <w:rStyle w:val="HideTWBExt"/>
        </w:rPr>
        <w:t>&lt;/NumAm&gt;</w:t>
      </w:r>
    </w:p>
    <w:p w:rsidR="00AB6CEC" w:rsidRPr="00A22488" w:rsidRDefault="001E4C72">
      <w:pPr>
        <w:pStyle w:val="NormalBold"/>
      </w:pPr>
      <w:r w:rsidRPr="00A22488">
        <w:rPr>
          <w:rStyle w:val="HideTWBExt"/>
        </w:rPr>
        <w:t>&lt;RepeatBlock-By&gt;&lt;Members&gt;</w:t>
      </w:r>
      <w:r w:rsidRPr="00A22488">
        <w:rPr>
          <w:color w:val="auto"/>
        </w:rPr>
        <w:t>David McAllister</w:t>
      </w:r>
      <w:r w:rsidRPr="00A22488">
        <w:rPr>
          <w:rStyle w:val="HideTWBExt"/>
        </w:rPr>
        <w:t>&lt;/Members&gt;</w:t>
      </w:r>
    </w:p>
    <w:p w:rsidR="00AB6CEC" w:rsidRPr="00A22488" w:rsidRDefault="001E4C72">
      <w:r w:rsidRPr="00A22488">
        <w:rPr>
          <w:rStyle w:val="HideTWBExt"/>
        </w:rPr>
        <w:t>&lt;AuNomDe&gt;</w:t>
      </w:r>
      <w:r w:rsidRPr="00A22488">
        <w:rPr>
          <w:rStyle w:val="HideTWBInt"/>
          <w:color w:val="auto"/>
        </w:rPr>
        <w:t>{AFET}</w:t>
      </w:r>
      <w:r w:rsidRPr="00A22488">
        <w:t>a nome della commissione per gli affari esteri</w:t>
      </w:r>
      <w:r w:rsidRPr="00A22488">
        <w:rPr>
          <w:rStyle w:val="HideTWBExt"/>
        </w:rPr>
        <w:t>&lt;/AuNomDe&gt;</w:t>
      </w:r>
    </w:p>
    <w:p w:rsidR="00AB6CEC" w:rsidRPr="00A22488" w:rsidRDefault="001E4C72">
      <w:r w:rsidRPr="00A22488">
        <w:rPr>
          <w:rStyle w:val="HideTWBExt"/>
        </w:rPr>
        <w:t>&lt;/RepeatBlock-By&gt;</w:t>
      </w:r>
    </w:p>
    <w:p w:rsidR="00AB6CEC" w:rsidRPr="00A22488" w:rsidRDefault="001E4C72">
      <w:pPr>
        <w:pStyle w:val="ProjRap"/>
      </w:pPr>
      <w:r w:rsidRPr="00A22488">
        <w:rPr>
          <w:rStyle w:val="HideTWBExt"/>
        </w:rPr>
        <w:t>&lt;TitreType&gt;</w:t>
      </w:r>
      <w:r w:rsidRPr="00A22488">
        <w:t>Relazione</w:t>
      </w:r>
      <w:r w:rsidRPr="00A22488">
        <w:rPr>
          <w:rStyle w:val="HideTWBExt"/>
        </w:rPr>
        <w:t>&lt;/TitreType&gt;</w:t>
      </w:r>
      <w:r w:rsidRPr="00A22488">
        <w:tab/>
        <w:t>A8-0174/2019</w:t>
      </w:r>
    </w:p>
    <w:p w:rsidR="00AB6CEC" w:rsidRPr="00A22488" w:rsidRDefault="001E4C72">
      <w:pPr>
        <w:pStyle w:val="NormalBold"/>
      </w:pPr>
      <w:r w:rsidRPr="00A22488">
        <w:rPr>
          <w:rStyle w:val="HideTWBExt"/>
        </w:rPr>
        <w:t>&lt;Rapporteur&gt;</w:t>
      </w:r>
      <w:r w:rsidRPr="00A22488">
        <w:rPr>
          <w:color w:val="auto"/>
        </w:rPr>
        <w:t>José Ignacio Salafranca Sánchez-Neyra</w:t>
      </w:r>
      <w:r w:rsidRPr="00A22488">
        <w:rPr>
          <w:rStyle w:val="HideTWBExt"/>
        </w:rPr>
        <w:t>&lt;/Rapporteur&gt;</w:t>
      </w:r>
    </w:p>
    <w:p w:rsidR="00AB6CEC" w:rsidRPr="00A22488" w:rsidRDefault="001E4C72">
      <w:pPr>
        <w:pStyle w:val="Normal12"/>
      </w:pPr>
      <w:r w:rsidRPr="00A22488">
        <w:rPr>
          <w:rStyle w:val="HideTWBExt"/>
        </w:rPr>
        <w:t>&lt;Titre&gt;</w:t>
      </w:r>
      <w:r w:rsidRPr="00A22488">
        <w:t>Istituzione di uno strumento di assistenza preadesione (IPA III)</w:t>
      </w:r>
      <w:r w:rsidRPr="00A22488">
        <w:rPr>
          <w:rStyle w:val="HideTWBExt"/>
        </w:rPr>
        <w:t>&lt;/Titre&gt;</w:t>
      </w:r>
    </w:p>
    <w:p w:rsidR="00AB6CEC" w:rsidRPr="00A22488" w:rsidRDefault="001E4C72">
      <w:pPr>
        <w:pStyle w:val="Normal12"/>
      </w:pPr>
      <w:r w:rsidRPr="00A22488">
        <w:rPr>
          <w:rStyle w:val="HideTWBExt"/>
        </w:rPr>
        <w:t>&lt;DocRef&gt;</w:t>
      </w:r>
      <w:r w:rsidRPr="00A22488">
        <w:rPr>
          <w:color w:val="auto"/>
        </w:rPr>
        <w:t>(COM(2018)0465 – C8-0274/2018 – 2018/0247(COD))</w:t>
      </w:r>
      <w:r w:rsidRPr="00A22488">
        <w:rPr>
          <w:rStyle w:val="HideTWBExt"/>
        </w:rPr>
        <w:t>&lt;/DocRef&gt;</w:t>
      </w:r>
    </w:p>
    <w:p w:rsidR="00AB6CEC" w:rsidRPr="00A22488" w:rsidRDefault="00AB6CEC">
      <w:pPr>
        <w:pStyle w:val="Normal12"/>
      </w:pPr>
    </w:p>
    <w:p w:rsidR="00AB6CEC" w:rsidRPr="00A22488" w:rsidRDefault="001E4C72">
      <w:pPr>
        <w:pStyle w:val="NormalBold"/>
      </w:pPr>
      <w:r w:rsidRPr="00A22488">
        <w:rPr>
          <w:rStyle w:val="HideTWBExt"/>
        </w:rPr>
        <w:t>&lt;DocAmend&gt;</w:t>
      </w:r>
      <w:r w:rsidRPr="00A22488">
        <w:rPr>
          <w:color w:val="auto"/>
        </w:rPr>
        <w:t>Proposta di regolamento</w:t>
      </w:r>
      <w:r w:rsidRPr="00A22488">
        <w:rPr>
          <w:rStyle w:val="HideTWBExt"/>
        </w:rPr>
        <w:t>&lt;/DocAmend&gt;</w:t>
      </w:r>
    </w:p>
    <w:p w:rsidR="00AB6CEC" w:rsidRPr="00A22488" w:rsidRDefault="001E4C72">
      <w:pPr>
        <w:pStyle w:val="NormalBold"/>
      </w:pPr>
      <w:r w:rsidRPr="00A22488">
        <w:rPr>
          <w:rStyle w:val="HideTWBExt"/>
        </w:rPr>
        <w:t>&lt;Article&gt;</w:t>
      </w:r>
      <w:r w:rsidRPr="00A22488">
        <w:rPr>
          <w:color w:val="auto"/>
        </w:rPr>
        <w:t>Articolo 7 bis (nuovo)</w:t>
      </w:r>
      <w:r w:rsidRPr="00A2248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6CEC" w:rsidRPr="00A22488">
        <w:trPr>
          <w:trHeight w:hRule="exact" w:val="240"/>
          <w:jc w:val="center"/>
        </w:trPr>
        <w:tc>
          <w:tcPr>
            <w:tcW w:w="9752" w:type="dxa"/>
            <w:gridSpan w:val="2"/>
          </w:tcPr>
          <w:p w:rsidR="00AB6CEC" w:rsidRPr="00A22488" w:rsidRDefault="00AB6CEC"/>
        </w:tc>
      </w:tr>
      <w:tr w:rsidR="00AB6CEC" w:rsidRPr="00A22488">
        <w:trPr>
          <w:trHeight w:val="240"/>
          <w:jc w:val="center"/>
        </w:trPr>
        <w:tc>
          <w:tcPr>
            <w:tcW w:w="4876" w:type="dxa"/>
          </w:tcPr>
          <w:p w:rsidR="00AB6CEC" w:rsidRPr="00A22488" w:rsidRDefault="001E4C72">
            <w:pPr>
              <w:pStyle w:val="ColumnHeading"/>
              <w:rPr>
                <w:color w:val="auto"/>
              </w:rPr>
            </w:pPr>
            <w:r w:rsidRPr="00A22488">
              <w:rPr>
                <w:color w:val="auto"/>
              </w:rPr>
              <w:t>Testo della Commissione</w:t>
            </w:r>
          </w:p>
        </w:tc>
        <w:tc>
          <w:tcPr>
            <w:tcW w:w="4876" w:type="dxa"/>
          </w:tcPr>
          <w:p w:rsidR="00AB6CEC" w:rsidRPr="00A22488" w:rsidRDefault="001E4C72">
            <w:pPr>
              <w:pStyle w:val="ColumnHeading"/>
              <w:rPr>
                <w:color w:val="auto"/>
              </w:rPr>
            </w:pPr>
            <w:r w:rsidRPr="00A22488">
              <w:rPr>
                <w:color w:val="auto"/>
              </w:rPr>
              <w:t>Emendamento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Articolo 7 bis</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Revisione intermedia e valutazione</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1. La Commissione adotta un nuovo quadro di programmazione dell'IPA sulla base della valutazione intermedia Entro il 30 giugno 2024 la Commissione presenta una relazione di valutazione intermedia sull'applicazione del presente regolamento. Tale relazione riguarda il periodo compreso tra il 1° gennaio 2021 e il 31 dicembre 2023 ed esamina il contributo dell'Unione alla realizzazione degli obiettivi del presente regolamento, mediante indicatori che misurano i risultati ottenuti e le eventuali risultanze e conclusioni relative all'impatto del presente regolamento.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Il Parlamento europeo può fornire il proprio contributo a tale valutazione. La Commissione e il SEAE organizzano una consultazione con i soggetti e i beneficiari principali, comprese le organizzazioni della società civile. La Commissione e il SEAE prestano particolare attenzione a garantire che siano rappresentati i soggetti più emarginati.</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xml:space="preserve">La Commissione valuta altresì l'impatto e l'efficacia delle proprie azioni per settore di intervento e l'efficacia della </w:t>
            </w:r>
            <w:r w:rsidRPr="00A22488">
              <w:rPr>
                <w:b/>
                <w:i/>
                <w:color w:val="auto"/>
              </w:rPr>
              <w:lastRenderedPageBreak/>
              <w:t>programmazione mediante valutazioni esterne. Le proposte e le opinioni del Parlamento europeo e del Consiglio in merito alle valutazioni esterne indipendenti sono debitamente prese in considerazione dalla Commissione e dal SEAE. La valutazione intermedia prende in esame i risultati ottenuti dall'Unione in relazione agli obiettivi stabiliti dal presente regolamento.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2. La relazione di valutazione intermedia esamina altresì l'efficienza, il valore aggiunto, il funzionamento dell'architettura semplificata e razionalizzata, la coerenza interna ed esterna e il sussistere della pertinenza degli obiettivi del presente regolamento, la complementarità e le sinergie tra le azioni finanziate, il contributo delle misure a una coerente azione esterna dell'Unione, nonché il grado di consapevolezza del sostegno finanziario dell'UE da parte dell'opinione pubblica dei paesi beneficiari, se del caso.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3. La relazione di valutazione intermedia è elaborata allo scopo specifico di migliorare l'applicazione dei finanziamenti dell'Unione. Essa orienta le decisioni sul rinnovo, sulla modifica o sulla sospensione delle tipologie di azione attuate nell’ambito del presente regolamento.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4. La relazione di valutazione intermedia contiene altresì informazioni consolidate delle pertinenti relazioni annuali relative a tutti i finanziamenti disciplinati dal presente regolamento, tra cui le entrate con destinazione specifica esterna e i contributi a fondi fiduciari, e presenta una ripartizione della spesa per paese beneficiario, uso di strumenti finanziari, impegni e pagamenti.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xml:space="preserve">5. La Commissione comunica le conclusioni delle valutazioni, corredate delle proprie osservazioni, al Parlamento </w:t>
            </w:r>
            <w:r w:rsidRPr="00A22488">
              <w:rPr>
                <w:b/>
                <w:i/>
                <w:color w:val="auto"/>
              </w:rPr>
              <w:lastRenderedPageBreak/>
              <w:t>europeo, al Consiglio e agli Stati membri. Gli esiti sono tenuti in considerazione al momento di concepire i programmi e di decidere l'assegnazione delle risorse.</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6. La Commissione coinvolge tutti i soggetti interessati, comprese le organizzazioni della società civile, nel processo di valutazione dei finanziamenti dell'Unione di cui al presente regolamento e può eventualmente effettuare valutazioni comuni con gli Stati membri in stretta collaborazione con i beneficiari.</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7. La Commissione presenta la relazione di valutazione intermedia di cui al presente articolo al Parlamento europeo e al Consiglio, accompagnata, se del caso, da proposte legislative che apportano le necessarie modifiche al presente regolamento.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8. Al termine del periodo di applicazione del presente regolamento e comunque non oltre tre anni dalla fine del periodo di cui all'articolo 1, la Commissione effettua una valutazione finale del regolamento alle stesse condizioni della valutazione intermedia di cui al presente articolo.</w:t>
            </w:r>
          </w:p>
        </w:tc>
      </w:tr>
    </w:tbl>
    <w:p w:rsidR="00AB6CEC" w:rsidRPr="00A22488" w:rsidRDefault="001E4C72" w:rsidP="00445C23">
      <w:pPr>
        <w:pStyle w:val="Olang"/>
      </w:pPr>
      <w:r w:rsidRPr="00A22488">
        <w:rPr>
          <w:color w:val="auto"/>
        </w:rPr>
        <w:t xml:space="preserve">Or. </w:t>
      </w:r>
      <w:r w:rsidRPr="00A22488">
        <w:rPr>
          <w:rStyle w:val="HideTWBExt"/>
        </w:rPr>
        <w:t>&lt;Original&gt;</w:t>
      </w:r>
      <w:r w:rsidRPr="00A22488">
        <w:rPr>
          <w:rStyle w:val="HideTWBInt"/>
        </w:rPr>
        <w:t>{EN}</w:t>
      </w:r>
      <w:r w:rsidRPr="00A22488">
        <w:rPr>
          <w:color w:val="auto"/>
        </w:rPr>
        <w:t>en</w:t>
      </w:r>
      <w:r w:rsidRPr="00A22488">
        <w:rPr>
          <w:rStyle w:val="HideTWBExt"/>
        </w:rPr>
        <w:t>&lt;/Original&gt;</w:t>
      </w:r>
    </w:p>
    <w:p w:rsidR="00AB6CEC" w:rsidRPr="00A22488" w:rsidRDefault="001E4C72">
      <w:pPr>
        <w:pStyle w:val="Olang"/>
        <w:rPr>
          <w:color w:val="auto"/>
        </w:rPr>
        <w:sectPr w:rsidR="00AB6CEC" w:rsidRPr="00A22488">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A22488">
        <w:rPr>
          <w:rStyle w:val="HideTWBExt"/>
        </w:rPr>
        <w:t>&lt;/Amend&gt;</w:t>
      </w:r>
    </w:p>
    <w:p w:rsidR="00AB6CEC" w:rsidRPr="00A22488" w:rsidRDefault="001E4C72">
      <w:pPr>
        <w:pStyle w:val="Interstitial1"/>
      </w:pPr>
      <w:r w:rsidRPr="00A22488">
        <w:rPr>
          <w:rStyle w:val="HideTWBExt"/>
        </w:rPr>
        <w:lastRenderedPageBreak/>
        <w:t>&lt;Amend&gt;&lt;Date&gt;</w:t>
      </w:r>
      <w:r w:rsidRPr="00A22488">
        <w:rPr>
          <w:rStyle w:val="HideTWBInt"/>
          <w:color w:val="auto"/>
        </w:rPr>
        <w:t>{21/03/2019}</w:t>
      </w:r>
      <w:r w:rsidRPr="00A22488">
        <w:rPr>
          <w:color w:val="auto"/>
        </w:rPr>
        <w:t>21.3.2019</w:t>
      </w:r>
      <w:r w:rsidRPr="00A22488">
        <w:rPr>
          <w:rStyle w:val="HideTWBExt"/>
        </w:rPr>
        <w:t>&lt;/Date&gt;</w:t>
      </w:r>
      <w:r w:rsidRPr="00A22488">
        <w:rPr>
          <w:color w:val="auto"/>
        </w:rPr>
        <w:tab/>
      </w:r>
      <w:r w:rsidRPr="00A22488">
        <w:rPr>
          <w:rStyle w:val="HideTWBExt"/>
        </w:rPr>
        <w:t>&lt;ANo&gt;</w:t>
      </w:r>
      <w:r w:rsidRPr="00A22488">
        <w:rPr>
          <w:color w:val="auto"/>
        </w:rPr>
        <w:t>A8-0174</w:t>
      </w:r>
      <w:r w:rsidRPr="00A22488">
        <w:rPr>
          <w:rStyle w:val="HideTWBExt"/>
        </w:rPr>
        <w:t>&lt;/ANo&gt;</w:t>
      </w:r>
      <w:r w:rsidRPr="00A22488">
        <w:rPr>
          <w:color w:val="auto"/>
        </w:rPr>
        <w:t>/</w:t>
      </w:r>
      <w:r w:rsidRPr="00A22488">
        <w:rPr>
          <w:rStyle w:val="HideTWBExt"/>
        </w:rPr>
        <w:t>&lt;NumAm&gt;</w:t>
      </w:r>
      <w:r w:rsidRPr="00A22488">
        <w:rPr>
          <w:color w:val="auto"/>
        </w:rPr>
        <w:t>125</w:t>
      </w:r>
      <w:r w:rsidRPr="00A22488">
        <w:rPr>
          <w:rStyle w:val="HideTWBExt"/>
        </w:rPr>
        <w:t>&lt;/NumAm&gt;</w:t>
      </w:r>
    </w:p>
    <w:p w:rsidR="00AB6CEC" w:rsidRPr="00A22488" w:rsidRDefault="001E4C72">
      <w:pPr>
        <w:pStyle w:val="AMNumberTabs"/>
      </w:pPr>
      <w:r w:rsidRPr="00A22488">
        <w:rPr>
          <w:color w:val="auto"/>
        </w:rPr>
        <w:t>Emendamento</w:t>
      </w:r>
      <w:r w:rsidRPr="00A22488">
        <w:rPr>
          <w:color w:val="auto"/>
        </w:rPr>
        <w:tab/>
      </w:r>
      <w:r w:rsidRPr="00A22488">
        <w:rPr>
          <w:color w:val="auto"/>
        </w:rPr>
        <w:tab/>
      </w:r>
      <w:r w:rsidRPr="00A22488">
        <w:rPr>
          <w:rStyle w:val="HideTWBExt"/>
        </w:rPr>
        <w:t>&lt;NumAm&gt;</w:t>
      </w:r>
      <w:r w:rsidRPr="00A22488">
        <w:rPr>
          <w:color w:val="auto"/>
        </w:rPr>
        <w:t>125</w:t>
      </w:r>
      <w:r w:rsidRPr="00A22488">
        <w:rPr>
          <w:rStyle w:val="HideTWBExt"/>
        </w:rPr>
        <w:t>&lt;/NumAm&gt;</w:t>
      </w:r>
    </w:p>
    <w:p w:rsidR="00AB6CEC" w:rsidRPr="00A22488" w:rsidRDefault="001E4C72">
      <w:pPr>
        <w:pStyle w:val="NormalBold"/>
      </w:pPr>
      <w:r w:rsidRPr="00A22488">
        <w:rPr>
          <w:rStyle w:val="HideTWBExt"/>
        </w:rPr>
        <w:t>&lt;RepeatBlock-By&gt;&lt;Members&gt;</w:t>
      </w:r>
      <w:r w:rsidRPr="00A22488">
        <w:rPr>
          <w:color w:val="auto"/>
        </w:rPr>
        <w:t>David McAllister</w:t>
      </w:r>
      <w:r w:rsidRPr="00A22488">
        <w:rPr>
          <w:rStyle w:val="HideTWBExt"/>
        </w:rPr>
        <w:t>&lt;/Members&gt;</w:t>
      </w:r>
    </w:p>
    <w:p w:rsidR="00AB6CEC" w:rsidRPr="00A22488" w:rsidRDefault="001E4C72">
      <w:r w:rsidRPr="00A22488">
        <w:rPr>
          <w:rStyle w:val="HideTWBExt"/>
        </w:rPr>
        <w:t>&lt;AuNomDe&gt;</w:t>
      </w:r>
      <w:r w:rsidRPr="00A22488">
        <w:rPr>
          <w:rStyle w:val="HideTWBInt"/>
          <w:color w:val="auto"/>
        </w:rPr>
        <w:t>{AFET}</w:t>
      </w:r>
      <w:r w:rsidRPr="00A22488">
        <w:t>a nome della commissione per gli affari esteri</w:t>
      </w:r>
      <w:r w:rsidRPr="00A22488">
        <w:rPr>
          <w:rStyle w:val="HideTWBExt"/>
        </w:rPr>
        <w:t>&lt;/AuNomDe&gt;</w:t>
      </w:r>
    </w:p>
    <w:p w:rsidR="00AB6CEC" w:rsidRPr="00A22488" w:rsidRDefault="001E4C72">
      <w:r w:rsidRPr="00A22488">
        <w:rPr>
          <w:rStyle w:val="HideTWBExt"/>
        </w:rPr>
        <w:t>&lt;/RepeatBlock-By&gt;</w:t>
      </w:r>
    </w:p>
    <w:p w:rsidR="00AB6CEC" w:rsidRPr="00A22488" w:rsidRDefault="001E4C72">
      <w:pPr>
        <w:pStyle w:val="ProjRap"/>
      </w:pPr>
      <w:r w:rsidRPr="00A22488">
        <w:rPr>
          <w:rStyle w:val="HideTWBExt"/>
        </w:rPr>
        <w:t>&lt;TitreType&gt;</w:t>
      </w:r>
      <w:r w:rsidRPr="00A22488">
        <w:t>Relazione</w:t>
      </w:r>
      <w:r w:rsidRPr="00A22488">
        <w:rPr>
          <w:rStyle w:val="HideTWBExt"/>
        </w:rPr>
        <w:t>&lt;/TitreType&gt;</w:t>
      </w:r>
      <w:r w:rsidRPr="00A22488">
        <w:tab/>
        <w:t>A8-0174/2019</w:t>
      </w:r>
    </w:p>
    <w:p w:rsidR="00AB6CEC" w:rsidRPr="00A22488" w:rsidRDefault="001E4C72">
      <w:pPr>
        <w:pStyle w:val="NormalBold"/>
      </w:pPr>
      <w:r w:rsidRPr="00A22488">
        <w:rPr>
          <w:rStyle w:val="HideTWBExt"/>
        </w:rPr>
        <w:t>&lt;Rapporteur&gt;</w:t>
      </w:r>
      <w:r w:rsidRPr="00A22488">
        <w:rPr>
          <w:color w:val="auto"/>
        </w:rPr>
        <w:t>José Ignacio Salafranca Sánchez-Neyra</w:t>
      </w:r>
      <w:r w:rsidRPr="00A22488">
        <w:rPr>
          <w:rStyle w:val="HideTWBExt"/>
        </w:rPr>
        <w:t>&lt;/Rapporteur&gt;</w:t>
      </w:r>
    </w:p>
    <w:p w:rsidR="00AB6CEC" w:rsidRPr="00A22488" w:rsidRDefault="001E4C72">
      <w:pPr>
        <w:pStyle w:val="Normal12"/>
      </w:pPr>
      <w:r w:rsidRPr="00A22488">
        <w:rPr>
          <w:rStyle w:val="HideTWBExt"/>
        </w:rPr>
        <w:t>&lt;Titre&gt;</w:t>
      </w:r>
      <w:r w:rsidRPr="00A22488">
        <w:t>Istituzione di uno strumento di assistenza preadesione (IPA III)</w:t>
      </w:r>
      <w:r w:rsidRPr="00A22488">
        <w:rPr>
          <w:rStyle w:val="HideTWBExt"/>
        </w:rPr>
        <w:t>&lt;/Titre&gt;</w:t>
      </w:r>
    </w:p>
    <w:p w:rsidR="00AB6CEC" w:rsidRPr="00A22488" w:rsidRDefault="001E4C72">
      <w:pPr>
        <w:pStyle w:val="Normal12"/>
      </w:pPr>
      <w:r w:rsidRPr="00A22488">
        <w:rPr>
          <w:rStyle w:val="HideTWBExt"/>
        </w:rPr>
        <w:t>&lt;DocRef&gt;</w:t>
      </w:r>
      <w:r w:rsidRPr="00A22488">
        <w:rPr>
          <w:color w:val="auto"/>
        </w:rPr>
        <w:t>(COM(2018)0465 – C8-0274/2018 – 2018/0247(COD))</w:t>
      </w:r>
      <w:r w:rsidRPr="00A22488">
        <w:rPr>
          <w:rStyle w:val="HideTWBExt"/>
        </w:rPr>
        <w:t>&lt;/DocRef&gt;</w:t>
      </w:r>
    </w:p>
    <w:p w:rsidR="00AB6CEC" w:rsidRPr="00A22488" w:rsidRDefault="00AB6CEC">
      <w:pPr>
        <w:pStyle w:val="Normal12"/>
      </w:pPr>
    </w:p>
    <w:p w:rsidR="00AB6CEC" w:rsidRPr="00A22488" w:rsidRDefault="001E4C72">
      <w:pPr>
        <w:pStyle w:val="NormalBold"/>
      </w:pPr>
      <w:r w:rsidRPr="00A22488">
        <w:rPr>
          <w:rStyle w:val="HideTWBExt"/>
        </w:rPr>
        <w:t>&lt;DocAmend&gt;</w:t>
      </w:r>
      <w:r w:rsidRPr="00A22488">
        <w:rPr>
          <w:color w:val="auto"/>
        </w:rPr>
        <w:t>Proposta di regolamento</w:t>
      </w:r>
      <w:r w:rsidRPr="00A22488">
        <w:rPr>
          <w:rStyle w:val="HideTWBExt"/>
        </w:rPr>
        <w:t>&lt;/DocAmend&gt;</w:t>
      </w:r>
    </w:p>
    <w:p w:rsidR="00AB6CEC" w:rsidRPr="00A22488" w:rsidRDefault="001E4C72">
      <w:pPr>
        <w:pStyle w:val="NormalBold"/>
      </w:pPr>
      <w:r w:rsidRPr="00A22488">
        <w:rPr>
          <w:rStyle w:val="HideTWBExt"/>
        </w:rPr>
        <w:t>&lt;Article&gt;</w:t>
      </w:r>
      <w:r w:rsidRPr="00A22488">
        <w:rPr>
          <w:color w:val="auto"/>
        </w:rPr>
        <w:t>Articolo 7 ter (nuovo)</w:t>
      </w:r>
      <w:r w:rsidRPr="00A2248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6CEC" w:rsidRPr="00A22488">
        <w:trPr>
          <w:trHeight w:hRule="exact" w:val="240"/>
          <w:jc w:val="center"/>
        </w:trPr>
        <w:tc>
          <w:tcPr>
            <w:tcW w:w="9752" w:type="dxa"/>
            <w:gridSpan w:val="2"/>
          </w:tcPr>
          <w:p w:rsidR="00AB6CEC" w:rsidRPr="00A22488" w:rsidRDefault="00AB6CEC"/>
        </w:tc>
      </w:tr>
      <w:tr w:rsidR="00AB6CEC" w:rsidRPr="00A22488">
        <w:trPr>
          <w:trHeight w:val="240"/>
          <w:jc w:val="center"/>
        </w:trPr>
        <w:tc>
          <w:tcPr>
            <w:tcW w:w="4876" w:type="dxa"/>
          </w:tcPr>
          <w:p w:rsidR="00AB6CEC" w:rsidRPr="00A22488" w:rsidRDefault="001E4C72">
            <w:pPr>
              <w:pStyle w:val="ColumnHeading"/>
              <w:rPr>
                <w:color w:val="auto"/>
              </w:rPr>
            </w:pPr>
            <w:r w:rsidRPr="00A22488">
              <w:rPr>
                <w:color w:val="auto"/>
              </w:rPr>
              <w:t>Testo della Commissione</w:t>
            </w:r>
          </w:p>
        </w:tc>
        <w:tc>
          <w:tcPr>
            <w:tcW w:w="4876" w:type="dxa"/>
          </w:tcPr>
          <w:p w:rsidR="00AB6CEC" w:rsidRPr="00A22488" w:rsidRDefault="001E4C72">
            <w:pPr>
              <w:pStyle w:val="ColumnHeading"/>
              <w:rPr>
                <w:color w:val="auto"/>
              </w:rPr>
            </w:pPr>
            <w:r w:rsidRPr="00A22488">
              <w:rPr>
                <w:color w:val="auto"/>
              </w:rPr>
              <w:t>Emendamento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Articolo 7 ter</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Sospensione dell'assistenza</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1. Alla Commissione è delegato, conformemente all'articolo 14, il potere di adottare atti delegati con riguardo alla modifica dell'allegato I del presente regolamento al fine di sospendere in tutto o in parte l'assistenza dell'Unione, allorché un beneficiario non rispetti i principi di democrazia, Stato di diritto, buona governance, rispetto dei diritti umani e delle libertà fondamentali o le norme di sicurezza nucleare o violi gli impegni assunti nei pertinenti accordi conclusi con l'Unione o costantemente arretri in relazione a uno o più dei criteri di Copenaghen. Nell'eventualità di una sospensione parziale sono indicati i programmi cui si applica la sospensione.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2. Ove la Commissione ritenga che non sussistano più le ragioni che giustificano la sospensione dell'assistenza, le è conferito il potere di adottare atti delegati, conformemente all'articolo 14, al fine di modificare l'allegato I per ripristinare l'assistenza dell'Unione.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xml:space="preserve">3. Nei casi di sospensione parziale, l'assistenza dell'Unione è destinata principalmente a sostenere le organizzazioni della società civile e gli </w:t>
            </w:r>
            <w:r w:rsidRPr="00A22488">
              <w:rPr>
                <w:b/>
                <w:i/>
                <w:color w:val="auto"/>
              </w:rPr>
              <w:lastRenderedPageBreak/>
              <w:t>attori non statali per quanto riguarda le misure volte a promuovere i diritti umani e le libertà fondamentali, nonché a sostenere i processi di democratizzazione e di dialogo nei paesi partner.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4. La Commissione tiene debitamente conto delle pertinenti risoluzioni del Parlamento europeo nel suo processo decisionale. </w:t>
            </w:r>
          </w:p>
        </w:tc>
      </w:tr>
    </w:tbl>
    <w:p w:rsidR="00AB6CEC" w:rsidRPr="00A22488" w:rsidRDefault="001E4C72" w:rsidP="00445C23">
      <w:pPr>
        <w:pStyle w:val="Olang"/>
      </w:pPr>
      <w:r w:rsidRPr="00A22488">
        <w:rPr>
          <w:color w:val="auto"/>
        </w:rPr>
        <w:t xml:space="preserve">Or. </w:t>
      </w:r>
      <w:r w:rsidRPr="00A22488">
        <w:rPr>
          <w:rStyle w:val="HideTWBExt"/>
        </w:rPr>
        <w:t>&lt;Original&gt;</w:t>
      </w:r>
      <w:r w:rsidRPr="00A22488">
        <w:rPr>
          <w:rStyle w:val="HideTWBInt"/>
        </w:rPr>
        <w:t>{EN}</w:t>
      </w:r>
      <w:r w:rsidRPr="00A22488">
        <w:rPr>
          <w:color w:val="auto"/>
        </w:rPr>
        <w:t>en</w:t>
      </w:r>
      <w:r w:rsidRPr="00A22488">
        <w:rPr>
          <w:rStyle w:val="HideTWBExt"/>
        </w:rPr>
        <w:t>&lt;/Original&gt;</w:t>
      </w:r>
    </w:p>
    <w:p w:rsidR="00AB6CEC" w:rsidRPr="00A22488" w:rsidRDefault="001E4C72">
      <w:pPr>
        <w:pStyle w:val="Olang"/>
        <w:rPr>
          <w:color w:val="auto"/>
        </w:rPr>
        <w:sectPr w:rsidR="00AB6CEC" w:rsidRPr="00A22488">
          <w:footerReference w:type="default" r:id="rId12"/>
          <w:pgSz w:w="11906" w:h="16838"/>
          <w:pgMar w:top="1134" w:right="1417" w:bottom="1417" w:left="1417" w:header="1134" w:footer="567" w:gutter="0"/>
          <w:cols w:space="708"/>
          <w:docGrid w:linePitch="360"/>
        </w:sectPr>
      </w:pPr>
      <w:r w:rsidRPr="00A22488">
        <w:rPr>
          <w:rStyle w:val="HideTWBExt"/>
        </w:rPr>
        <w:t>&lt;/Amend&gt;</w:t>
      </w:r>
    </w:p>
    <w:p w:rsidR="00AB6CEC" w:rsidRPr="00A22488" w:rsidRDefault="001E4C72">
      <w:pPr>
        <w:pStyle w:val="Interstitial1"/>
      </w:pPr>
      <w:r w:rsidRPr="00A22488">
        <w:rPr>
          <w:rStyle w:val="HideTWBExt"/>
        </w:rPr>
        <w:lastRenderedPageBreak/>
        <w:t>&lt;Amend&gt;&lt;Date&gt;</w:t>
      </w:r>
      <w:r w:rsidRPr="00A22488">
        <w:rPr>
          <w:rStyle w:val="HideTWBInt"/>
          <w:color w:val="auto"/>
        </w:rPr>
        <w:t>{21/03/2019}</w:t>
      </w:r>
      <w:r w:rsidRPr="00A22488">
        <w:rPr>
          <w:color w:val="auto"/>
        </w:rPr>
        <w:t>21.3.2019</w:t>
      </w:r>
      <w:r w:rsidRPr="00A22488">
        <w:rPr>
          <w:rStyle w:val="HideTWBExt"/>
        </w:rPr>
        <w:t>&lt;/Date&gt;</w:t>
      </w:r>
      <w:r w:rsidRPr="00A22488">
        <w:rPr>
          <w:color w:val="auto"/>
        </w:rPr>
        <w:tab/>
      </w:r>
      <w:r w:rsidRPr="00A22488">
        <w:rPr>
          <w:rStyle w:val="HideTWBExt"/>
        </w:rPr>
        <w:t>&lt;ANo&gt;</w:t>
      </w:r>
      <w:r w:rsidRPr="00A22488">
        <w:rPr>
          <w:color w:val="auto"/>
        </w:rPr>
        <w:t>A8-0174</w:t>
      </w:r>
      <w:r w:rsidRPr="00A22488">
        <w:rPr>
          <w:rStyle w:val="HideTWBExt"/>
        </w:rPr>
        <w:t>&lt;/ANo&gt;</w:t>
      </w:r>
      <w:r w:rsidRPr="00A22488">
        <w:rPr>
          <w:color w:val="auto"/>
        </w:rPr>
        <w:t>/</w:t>
      </w:r>
      <w:r w:rsidRPr="00A22488">
        <w:rPr>
          <w:rStyle w:val="HideTWBExt"/>
        </w:rPr>
        <w:t>&lt;NumAm&gt;</w:t>
      </w:r>
      <w:r w:rsidRPr="00A22488">
        <w:rPr>
          <w:color w:val="auto"/>
        </w:rPr>
        <w:t>126</w:t>
      </w:r>
      <w:r w:rsidRPr="00A22488">
        <w:rPr>
          <w:rStyle w:val="HideTWBExt"/>
        </w:rPr>
        <w:t>&lt;/NumAm&gt;</w:t>
      </w:r>
    </w:p>
    <w:p w:rsidR="00AB6CEC" w:rsidRPr="00A22488" w:rsidRDefault="001E4C72">
      <w:pPr>
        <w:pStyle w:val="AMNumberTabs"/>
      </w:pPr>
      <w:r w:rsidRPr="00A22488">
        <w:rPr>
          <w:color w:val="auto"/>
        </w:rPr>
        <w:t>Emendamento</w:t>
      </w:r>
      <w:r w:rsidRPr="00A22488">
        <w:rPr>
          <w:color w:val="auto"/>
        </w:rPr>
        <w:tab/>
      </w:r>
      <w:r w:rsidRPr="00A22488">
        <w:rPr>
          <w:color w:val="auto"/>
        </w:rPr>
        <w:tab/>
      </w:r>
      <w:r w:rsidRPr="00A22488">
        <w:rPr>
          <w:rStyle w:val="HideTWBExt"/>
        </w:rPr>
        <w:t>&lt;NumAm&gt;</w:t>
      </w:r>
      <w:r w:rsidRPr="00A22488">
        <w:rPr>
          <w:color w:val="auto"/>
        </w:rPr>
        <w:t>126</w:t>
      </w:r>
      <w:r w:rsidRPr="00A22488">
        <w:rPr>
          <w:rStyle w:val="HideTWBExt"/>
        </w:rPr>
        <w:t>&lt;/NumAm&gt;</w:t>
      </w:r>
    </w:p>
    <w:p w:rsidR="00AB6CEC" w:rsidRPr="00A22488" w:rsidRDefault="001E4C72">
      <w:pPr>
        <w:pStyle w:val="NormalBold"/>
      </w:pPr>
      <w:r w:rsidRPr="00A22488">
        <w:rPr>
          <w:rStyle w:val="HideTWBExt"/>
        </w:rPr>
        <w:t>&lt;RepeatBlock-By&gt;&lt;Members&gt;</w:t>
      </w:r>
      <w:r w:rsidRPr="00A22488">
        <w:rPr>
          <w:color w:val="auto"/>
        </w:rPr>
        <w:t>David McAllister</w:t>
      </w:r>
      <w:r w:rsidRPr="00A22488">
        <w:rPr>
          <w:rStyle w:val="HideTWBExt"/>
        </w:rPr>
        <w:t>&lt;/Members&gt;</w:t>
      </w:r>
    </w:p>
    <w:p w:rsidR="00AB6CEC" w:rsidRPr="00A22488" w:rsidRDefault="001E4C72">
      <w:r w:rsidRPr="00A22488">
        <w:rPr>
          <w:rStyle w:val="HideTWBExt"/>
        </w:rPr>
        <w:t>&lt;AuNomDe&gt;</w:t>
      </w:r>
      <w:r w:rsidRPr="00A22488">
        <w:rPr>
          <w:rStyle w:val="HideTWBInt"/>
          <w:color w:val="auto"/>
        </w:rPr>
        <w:t>{AFET}</w:t>
      </w:r>
      <w:r w:rsidRPr="00A22488">
        <w:t>a nome della commissione per gli affari esteri</w:t>
      </w:r>
      <w:r w:rsidRPr="00A22488">
        <w:rPr>
          <w:rStyle w:val="HideTWBExt"/>
        </w:rPr>
        <w:t>&lt;/AuNomDe&gt;</w:t>
      </w:r>
    </w:p>
    <w:p w:rsidR="00AB6CEC" w:rsidRPr="00A22488" w:rsidRDefault="001E4C72">
      <w:r w:rsidRPr="00A22488">
        <w:rPr>
          <w:rStyle w:val="HideTWBExt"/>
        </w:rPr>
        <w:t>&lt;/RepeatBlock-By&gt;</w:t>
      </w:r>
    </w:p>
    <w:p w:rsidR="00AB6CEC" w:rsidRPr="00A22488" w:rsidRDefault="001E4C72">
      <w:pPr>
        <w:pStyle w:val="ProjRap"/>
      </w:pPr>
      <w:r w:rsidRPr="00A22488">
        <w:rPr>
          <w:rStyle w:val="HideTWBExt"/>
        </w:rPr>
        <w:t>&lt;TitreType&gt;</w:t>
      </w:r>
      <w:r w:rsidRPr="00A22488">
        <w:t>Relazione</w:t>
      </w:r>
      <w:r w:rsidRPr="00A22488">
        <w:rPr>
          <w:rStyle w:val="HideTWBExt"/>
        </w:rPr>
        <w:t>&lt;/TitreType&gt;</w:t>
      </w:r>
      <w:r w:rsidRPr="00A22488">
        <w:tab/>
        <w:t>A8-0174/2019</w:t>
      </w:r>
    </w:p>
    <w:p w:rsidR="00AB6CEC" w:rsidRPr="00A22488" w:rsidRDefault="001E4C72">
      <w:pPr>
        <w:pStyle w:val="NormalBold"/>
      </w:pPr>
      <w:r w:rsidRPr="00A22488">
        <w:rPr>
          <w:rStyle w:val="HideTWBExt"/>
        </w:rPr>
        <w:t>&lt;Rapporteur&gt;</w:t>
      </w:r>
      <w:r w:rsidRPr="00A22488">
        <w:rPr>
          <w:color w:val="auto"/>
        </w:rPr>
        <w:t>José Ignacio Salafranca Sánchez-Neyra</w:t>
      </w:r>
      <w:r w:rsidRPr="00A22488">
        <w:rPr>
          <w:rStyle w:val="HideTWBExt"/>
        </w:rPr>
        <w:t>&lt;/Rapporteur&gt;</w:t>
      </w:r>
    </w:p>
    <w:p w:rsidR="00AB6CEC" w:rsidRPr="00A22488" w:rsidRDefault="001E4C72">
      <w:pPr>
        <w:pStyle w:val="Normal12"/>
      </w:pPr>
      <w:r w:rsidRPr="00A22488">
        <w:rPr>
          <w:rStyle w:val="HideTWBExt"/>
        </w:rPr>
        <w:t>&lt;Titre&gt;</w:t>
      </w:r>
      <w:r w:rsidRPr="00A22488">
        <w:t>Istituzione di uno strumento di assistenza preadesione (IPA III)</w:t>
      </w:r>
      <w:r w:rsidRPr="00A22488">
        <w:rPr>
          <w:rStyle w:val="HideTWBExt"/>
        </w:rPr>
        <w:t>&lt;/Titre&gt;</w:t>
      </w:r>
    </w:p>
    <w:p w:rsidR="00AB6CEC" w:rsidRPr="00A22488" w:rsidRDefault="001E4C72">
      <w:pPr>
        <w:pStyle w:val="Normal12"/>
      </w:pPr>
      <w:r w:rsidRPr="00A22488">
        <w:rPr>
          <w:rStyle w:val="HideTWBExt"/>
        </w:rPr>
        <w:t>&lt;DocRef&gt;</w:t>
      </w:r>
      <w:r w:rsidRPr="00A22488">
        <w:rPr>
          <w:color w:val="auto"/>
        </w:rPr>
        <w:t>(COM(2018)0465 – C8-0274/2018 – 2018/0247(COD))</w:t>
      </w:r>
      <w:r w:rsidRPr="00A22488">
        <w:rPr>
          <w:rStyle w:val="HideTWBExt"/>
        </w:rPr>
        <w:t>&lt;/DocRef&gt;</w:t>
      </w:r>
    </w:p>
    <w:p w:rsidR="00AB6CEC" w:rsidRPr="00A22488" w:rsidRDefault="00AB6CEC">
      <w:pPr>
        <w:pStyle w:val="Normal12"/>
      </w:pPr>
    </w:p>
    <w:p w:rsidR="00AB6CEC" w:rsidRPr="00A22488" w:rsidRDefault="001E4C72">
      <w:pPr>
        <w:pStyle w:val="NormalBold"/>
      </w:pPr>
      <w:r w:rsidRPr="00A22488">
        <w:rPr>
          <w:rStyle w:val="HideTWBExt"/>
        </w:rPr>
        <w:t>&lt;DocAmend&gt;</w:t>
      </w:r>
      <w:r w:rsidRPr="00A22488">
        <w:rPr>
          <w:color w:val="auto"/>
        </w:rPr>
        <w:t>Proposta di regolamento</w:t>
      </w:r>
      <w:r w:rsidRPr="00A22488">
        <w:rPr>
          <w:rStyle w:val="HideTWBExt"/>
        </w:rPr>
        <w:t>&lt;/DocAmend&gt;</w:t>
      </w:r>
    </w:p>
    <w:p w:rsidR="00AB6CEC" w:rsidRPr="00A22488" w:rsidRDefault="001E4C72">
      <w:pPr>
        <w:pStyle w:val="NormalBold"/>
      </w:pPr>
      <w:r w:rsidRPr="00A22488">
        <w:rPr>
          <w:rStyle w:val="HideTWBExt"/>
        </w:rPr>
        <w:t>&lt;Article&gt;</w:t>
      </w:r>
      <w:r w:rsidRPr="00A22488">
        <w:rPr>
          <w:color w:val="auto"/>
        </w:rPr>
        <w:t>Articolo 7 quater (nuovo)</w:t>
      </w:r>
      <w:r w:rsidRPr="00A2248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6CEC" w:rsidRPr="00A22488">
        <w:trPr>
          <w:trHeight w:hRule="exact" w:val="240"/>
          <w:jc w:val="center"/>
        </w:trPr>
        <w:tc>
          <w:tcPr>
            <w:tcW w:w="9752" w:type="dxa"/>
            <w:gridSpan w:val="2"/>
          </w:tcPr>
          <w:p w:rsidR="00AB6CEC" w:rsidRPr="00A22488" w:rsidRDefault="00AB6CEC"/>
        </w:tc>
      </w:tr>
      <w:tr w:rsidR="00AB6CEC" w:rsidRPr="00A22488">
        <w:trPr>
          <w:trHeight w:val="240"/>
          <w:jc w:val="center"/>
        </w:trPr>
        <w:tc>
          <w:tcPr>
            <w:tcW w:w="4876" w:type="dxa"/>
          </w:tcPr>
          <w:p w:rsidR="00AB6CEC" w:rsidRPr="00A22488" w:rsidRDefault="001E4C72">
            <w:pPr>
              <w:pStyle w:val="ColumnHeading"/>
              <w:rPr>
                <w:color w:val="auto"/>
              </w:rPr>
            </w:pPr>
            <w:r w:rsidRPr="00A22488">
              <w:rPr>
                <w:color w:val="auto"/>
              </w:rPr>
              <w:t>Testo della Commissione</w:t>
            </w:r>
          </w:p>
        </w:tc>
        <w:tc>
          <w:tcPr>
            <w:tcW w:w="4876" w:type="dxa"/>
          </w:tcPr>
          <w:p w:rsidR="00AB6CEC" w:rsidRPr="00A22488" w:rsidRDefault="001E4C72">
            <w:pPr>
              <w:pStyle w:val="ColumnHeading"/>
              <w:rPr>
                <w:color w:val="auto"/>
              </w:rPr>
            </w:pPr>
            <w:r w:rsidRPr="00A22488">
              <w:rPr>
                <w:color w:val="auto"/>
              </w:rPr>
              <w:t>Emendamento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Articolo 7 quater</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Governance</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Un gruppo direttivo orizzontale composto da tutti i competenti servizi della Commissione e del SEAE e presieduto dal vicepresidente della Commissione/alto rappresentante dell'Unione per gli affari esteri e la politica di sicurezza (VP/AR) o da un rappresentante di detto ufficio, è responsabile dell'indirizzo, del coordinamento e della gestione di tale strumento nell'ambito di tutto il ciclo di gestione così da garantire la coerenza, l'efficienza, la trasparenza e la responsabilità di tutti i finanziamenti esterni dell'Unione. Il VP/AR assicura il coordinamento politico globale dell'azione esterna dell'Unione. Per l'intero ciclo di programmazione, pianificazione ed applicazione dello strumento, il VP/HR e il SEAE collaborano con i pertinenti membri e servizi della Commissione, identificati sulla base della natura e degli obiettivi dell'azione prevista, avvalendosi delle loro competenze. Il VP/HR, il SEAE e la Commissione preparano tutte le proposte di decisione conformemente alle procedure della Commissione e le presentano per adozione.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xml:space="preserve">Il Parlamento europeo è pienamente </w:t>
            </w:r>
            <w:r w:rsidRPr="00A22488">
              <w:rPr>
                <w:b/>
                <w:i/>
                <w:color w:val="auto"/>
              </w:rPr>
              <w:lastRenderedPageBreak/>
              <w:t>coinvolto nelle fasi di elaborazione, programmazione, monitoraggio e valutazione degli strumenti di finanziamento esterno al fine di garantire il controllo politico nonché il controllo e la responsabilità democratici dei fondi dell'Unione in materia di azione esterna.</w:t>
            </w:r>
          </w:p>
        </w:tc>
      </w:tr>
    </w:tbl>
    <w:p w:rsidR="00AB6CEC" w:rsidRPr="00A22488" w:rsidRDefault="001E4C72" w:rsidP="00445C23">
      <w:pPr>
        <w:pStyle w:val="Olang"/>
      </w:pPr>
      <w:r w:rsidRPr="00A22488">
        <w:rPr>
          <w:color w:val="auto"/>
        </w:rPr>
        <w:lastRenderedPageBreak/>
        <w:t xml:space="preserve">Or. </w:t>
      </w:r>
      <w:r w:rsidRPr="00A22488">
        <w:rPr>
          <w:rStyle w:val="HideTWBExt"/>
        </w:rPr>
        <w:t>&lt;Original&gt;</w:t>
      </w:r>
      <w:r w:rsidRPr="00A22488">
        <w:rPr>
          <w:rStyle w:val="HideTWBInt"/>
        </w:rPr>
        <w:t>{EN}</w:t>
      </w:r>
      <w:r w:rsidRPr="00A22488">
        <w:rPr>
          <w:color w:val="auto"/>
        </w:rPr>
        <w:t>en</w:t>
      </w:r>
      <w:r w:rsidRPr="00A22488">
        <w:rPr>
          <w:rStyle w:val="HideTWBExt"/>
        </w:rPr>
        <w:t>&lt;/Original&gt;</w:t>
      </w:r>
    </w:p>
    <w:p w:rsidR="00AB6CEC" w:rsidRPr="00A22488" w:rsidRDefault="001E4C72">
      <w:pPr>
        <w:pStyle w:val="Olang"/>
        <w:rPr>
          <w:color w:val="auto"/>
        </w:rPr>
        <w:sectPr w:rsidR="00AB6CEC" w:rsidRPr="00A22488">
          <w:footerReference w:type="default" r:id="rId13"/>
          <w:pgSz w:w="11906" w:h="16838"/>
          <w:pgMar w:top="1134" w:right="1417" w:bottom="1417" w:left="1417" w:header="1134" w:footer="567" w:gutter="0"/>
          <w:cols w:space="708"/>
          <w:docGrid w:linePitch="360"/>
        </w:sectPr>
      </w:pPr>
      <w:r w:rsidRPr="00A22488">
        <w:rPr>
          <w:rStyle w:val="HideTWBExt"/>
        </w:rPr>
        <w:t>&lt;/Amend&gt;</w:t>
      </w:r>
    </w:p>
    <w:p w:rsidR="00AB6CEC" w:rsidRPr="00A22488" w:rsidRDefault="001E4C72">
      <w:pPr>
        <w:pStyle w:val="Interstitial1"/>
      </w:pPr>
      <w:r w:rsidRPr="00A22488">
        <w:rPr>
          <w:rStyle w:val="HideTWBExt"/>
        </w:rPr>
        <w:lastRenderedPageBreak/>
        <w:t>&lt;Amend&gt;&lt;Date&gt;</w:t>
      </w:r>
      <w:r w:rsidRPr="00A22488">
        <w:rPr>
          <w:rStyle w:val="HideTWBInt"/>
          <w:color w:val="auto"/>
        </w:rPr>
        <w:t>{21/03/2019}</w:t>
      </w:r>
      <w:r w:rsidRPr="00A22488">
        <w:rPr>
          <w:color w:val="auto"/>
        </w:rPr>
        <w:t>21.3.2019</w:t>
      </w:r>
      <w:r w:rsidRPr="00A22488">
        <w:rPr>
          <w:rStyle w:val="HideTWBExt"/>
        </w:rPr>
        <w:t>&lt;/Date&gt;</w:t>
      </w:r>
      <w:r w:rsidRPr="00A22488">
        <w:rPr>
          <w:color w:val="auto"/>
        </w:rPr>
        <w:tab/>
      </w:r>
      <w:r w:rsidRPr="00A22488">
        <w:rPr>
          <w:rStyle w:val="HideTWBExt"/>
        </w:rPr>
        <w:t>&lt;ANo&gt;</w:t>
      </w:r>
      <w:r w:rsidRPr="00A22488">
        <w:rPr>
          <w:color w:val="auto"/>
        </w:rPr>
        <w:t>A8-0174</w:t>
      </w:r>
      <w:r w:rsidRPr="00A22488">
        <w:rPr>
          <w:rStyle w:val="HideTWBExt"/>
        </w:rPr>
        <w:t>&lt;/ANo&gt;</w:t>
      </w:r>
      <w:r w:rsidRPr="00A22488">
        <w:rPr>
          <w:color w:val="auto"/>
        </w:rPr>
        <w:t>/</w:t>
      </w:r>
      <w:r w:rsidRPr="00A22488">
        <w:rPr>
          <w:rStyle w:val="HideTWBExt"/>
        </w:rPr>
        <w:t>&lt;NumAm&gt;</w:t>
      </w:r>
      <w:r w:rsidRPr="00A22488">
        <w:rPr>
          <w:color w:val="auto"/>
        </w:rPr>
        <w:t>127</w:t>
      </w:r>
      <w:r w:rsidRPr="00A22488">
        <w:rPr>
          <w:rStyle w:val="HideTWBExt"/>
        </w:rPr>
        <w:t>&lt;/NumAm&gt;</w:t>
      </w:r>
    </w:p>
    <w:p w:rsidR="00AB6CEC" w:rsidRPr="00A22488" w:rsidRDefault="001E4C72">
      <w:pPr>
        <w:pStyle w:val="AMNumberTabs"/>
      </w:pPr>
      <w:r w:rsidRPr="00A22488">
        <w:rPr>
          <w:color w:val="auto"/>
        </w:rPr>
        <w:t>Emendamento</w:t>
      </w:r>
      <w:r w:rsidRPr="00A22488">
        <w:rPr>
          <w:color w:val="auto"/>
        </w:rPr>
        <w:tab/>
      </w:r>
      <w:r w:rsidRPr="00A22488">
        <w:rPr>
          <w:color w:val="auto"/>
        </w:rPr>
        <w:tab/>
      </w:r>
      <w:r w:rsidRPr="00A22488">
        <w:rPr>
          <w:rStyle w:val="HideTWBExt"/>
        </w:rPr>
        <w:t>&lt;NumAm&gt;</w:t>
      </w:r>
      <w:r w:rsidRPr="00A22488">
        <w:rPr>
          <w:color w:val="auto"/>
        </w:rPr>
        <w:t>127</w:t>
      </w:r>
      <w:r w:rsidRPr="00A22488">
        <w:rPr>
          <w:rStyle w:val="HideTWBExt"/>
        </w:rPr>
        <w:t>&lt;/NumAm&gt;</w:t>
      </w:r>
    </w:p>
    <w:p w:rsidR="00AB6CEC" w:rsidRPr="00A22488" w:rsidRDefault="001E4C72">
      <w:pPr>
        <w:pStyle w:val="NormalBold"/>
      </w:pPr>
      <w:r w:rsidRPr="00A22488">
        <w:rPr>
          <w:rStyle w:val="HideTWBExt"/>
        </w:rPr>
        <w:t>&lt;RepeatBlock-By&gt;&lt;Members&gt;</w:t>
      </w:r>
      <w:r w:rsidRPr="00A22488">
        <w:rPr>
          <w:color w:val="auto"/>
        </w:rPr>
        <w:t>David McAllister</w:t>
      </w:r>
      <w:r w:rsidRPr="00A22488">
        <w:rPr>
          <w:rStyle w:val="HideTWBExt"/>
        </w:rPr>
        <w:t>&lt;/Members&gt;</w:t>
      </w:r>
    </w:p>
    <w:p w:rsidR="00AB6CEC" w:rsidRPr="00A22488" w:rsidRDefault="001E4C72">
      <w:r w:rsidRPr="00A22488">
        <w:rPr>
          <w:rStyle w:val="HideTWBExt"/>
        </w:rPr>
        <w:t>&lt;AuNomDe&gt;</w:t>
      </w:r>
      <w:r w:rsidRPr="00A22488">
        <w:rPr>
          <w:rStyle w:val="HideTWBInt"/>
          <w:color w:val="auto"/>
        </w:rPr>
        <w:t>{AFET}</w:t>
      </w:r>
      <w:r w:rsidRPr="00A22488">
        <w:t>a nome della commissione per gli affari esteri</w:t>
      </w:r>
      <w:r w:rsidRPr="00A22488">
        <w:rPr>
          <w:rStyle w:val="HideTWBExt"/>
        </w:rPr>
        <w:t>&lt;/AuNomDe&gt;</w:t>
      </w:r>
    </w:p>
    <w:p w:rsidR="00AB6CEC" w:rsidRPr="00A22488" w:rsidRDefault="001E4C72">
      <w:r w:rsidRPr="00A22488">
        <w:rPr>
          <w:rStyle w:val="HideTWBExt"/>
        </w:rPr>
        <w:t>&lt;/RepeatBlock-By&gt;</w:t>
      </w:r>
    </w:p>
    <w:p w:rsidR="00AB6CEC" w:rsidRPr="00A22488" w:rsidRDefault="001E4C72">
      <w:pPr>
        <w:pStyle w:val="ProjRap"/>
      </w:pPr>
      <w:r w:rsidRPr="00A22488">
        <w:rPr>
          <w:rStyle w:val="HideTWBExt"/>
        </w:rPr>
        <w:t>&lt;TitreType&gt;</w:t>
      </w:r>
      <w:r w:rsidRPr="00A22488">
        <w:t>Relazione</w:t>
      </w:r>
      <w:r w:rsidRPr="00A22488">
        <w:rPr>
          <w:rStyle w:val="HideTWBExt"/>
        </w:rPr>
        <w:t>&lt;/TitreType&gt;</w:t>
      </w:r>
      <w:r w:rsidRPr="00A22488">
        <w:tab/>
        <w:t>A8-0174/2019</w:t>
      </w:r>
    </w:p>
    <w:p w:rsidR="00AB6CEC" w:rsidRPr="00A22488" w:rsidRDefault="001E4C72">
      <w:pPr>
        <w:pStyle w:val="NormalBold"/>
      </w:pPr>
      <w:r w:rsidRPr="00A22488">
        <w:rPr>
          <w:rStyle w:val="HideTWBExt"/>
        </w:rPr>
        <w:t>&lt;Rapporteur&gt;</w:t>
      </w:r>
      <w:r w:rsidRPr="00A22488">
        <w:rPr>
          <w:color w:val="auto"/>
        </w:rPr>
        <w:t>José Ignacio Salafranca Sánchez-Neyra</w:t>
      </w:r>
      <w:r w:rsidRPr="00A22488">
        <w:rPr>
          <w:rStyle w:val="HideTWBExt"/>
        </w:rPr>
        <w:t>&lt;/Rapporteur&gt;</w:t>
      </w:r>
    </w:p>
    <w:p w:rsidR="00AB6CEC" w:rsidRPr="00A22488" w:rsidRDefault="001E4C72">
      <w:pPr>
        <w:pStyle w:val="Normal12"/>
      </w:pPr>
      <w:r w:rsidRPr="00A22488">
        <w:rPr>
          <w:rStyle w:val="HideTWBExt"/>
        </w:rPr>
        <w:t>&lt;Titre&gt;</w:t>
      </w:r>
      <w:r w:rsidRPr="00A22488">
        <w:t>Istituzione di uno strumento di assistenza preadesione (IPA III)</w:t>
      </w:r>
      <w:r w:rsidRPr="00A22488">
        <w:rPr>
          <w:rStyle w:val="HideTWBExt"/>
        </w:rPr>
        <w:t>&lt;/Titre&gt;</w:t>
      </w:r>
    </w:p>
    <w:p w:rsidR="00AB6CEC" w:rsidRPr="00A22488" w:rsidRDefault="001E4C72">
      <w:pPr>
        <w:pStyle w:val="Normal12"/>
      </w:pPr>
      <w:r w:rsidRPr="00A22488">
        <w:rPr>
          <w:rStyle w:val="HideTWBExt"/>
        </w:rPr>
        <w:t>&lt;DocRef&gt;</w:t>
      </w:r>
      <w:r w:rsidRPr="00A22488">
        <w:rPr>
          <w:color w:val="auto"/>
        </w:rPr>
        <w:t>(COM(2018)0465 – C8-0274/2018 – 2018/0247(COD))</w:t>
      </w:r>
      <w:r w:rsidRPr="00A22488">
        <w:rPr>
          <w:rStyle w:val="HideTWBExt"/>
        </w:rPr>
        <w:t>&lt;/DocRef&gt;</w:t>
      </w:r>
    </w:p>
    <w:p w:rsidR="00AB6CEC" w:rsidRPr="00A22488" w:rsidRDefault="00AB6CEC">
      <w:pPr>
        <w:pStyle w:val="Normal12"/>
      </w:pPr>
    </w:p>
    <w:p w:rsidR="00AB6CEC" w:rsidRPr="00A22488" w:rsidRDefault="001E4C72">
      <w:pPr>
        <w:pStyle w:val="NormalBold"/>
      </w:pPr>
      <w:r w:rsidRPr="00A22488">
        <w:rPr>
          <w:rStyle w:val="HideTWBExt"/>
        </w:rPr>
        <w:t>&lt;DocAmend&gt;</w:t>
      </w:r>
      <w:r w:rsidRPr="00A22488">
        <w:rPr>
          <w:color w:val="auto"/>
        </w:rPr>
        <w:t>Proposta di regolamento</w:t>
      </w:r>
      <w:r w:rsidRPr="00A22488">
        <w:rPr>
          <w:rStyle w:val="HideTWBExt"/>
        </w:rPr>
        <w:t>&lt;/DocAmend&gt;</w:t>
      </w:r>
    </w:p>
    <w:p w:rsidR="00AB6CEC" w:rsidRPr="00A22488" w:rsidRDefault="001E4C72">
      <w:pPr>
        <w:pStyle w:val="NormalBold"/>
      </w:pPr>
      <w:r w:rsidRPr="00A22488">
        <w:rPr>
          <w:rStyle w:val="HideTWBExt"/>
        </w:rPr>
        <w:t>&lt;Article&gt;</w:t>
      </w:r>
      <w:r w:rsidRPr="00A22488">
        <w:rPr>
          <w:color w:val="auto"/>
        </w:rPr>
        <w:t>Articolo 8 bis (nuovo)</w:t>
      </w:r>
      <w:r w:rsidRPr="00A2248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6CEC" w:rsidRPr="00A22488">
        <w:trPr>
          <w:trHeight w:hRule="exact" w:val="240"/>
          <w:jc w:val="center"/>
        </w:trPr>
        <w:tc>
          <w:tcPr>
            <w:tcW w:w="9752" w:type="dxa"/>
            <w:gridSpan w:val="2"/>
          </w:tcPr>
          <w:p w:rsidR="00AB6CEC" w:rsidRPr="00A22488" w:rsidRDefault="00AB6CEC"/>
        </w:tc>
      </w:tr>
      <w:tr w:rsidR="00AB6CEC" w:rsidRPr="00A22488">
        <w:trPr>
          <w:trHeight w:val="240"/>
          <w:jc w:val="center"/>
        </w:trPr>
        <w:tc>
          <w:tcPr>
            <w:tcW w:w="4876" w:type="dxa"/>
          </w:tcPr>
          <w:p w:rsidR="00AB6CEC" w:rsidRPr="00A22488" w:rsidRDefault="001E4C72">
            <w:pPr>
              <w:pStyle w:val="ColumnHeading"/>
              <w:rPr>
                <w:color w:val="auto"/>
              </w:rPr>
            </w:pPr>
            <w:r w:rsidRPr="00A22488">
              <w:rPr>
                <w:color w:val="auto"/>
              </w:rPr>
              <w:t>Testo della Commissione</w:t>
            </w:r>
          </w:p>
        </w:tc>
        <w:tc>
          <w:tcPr>
            <w:tcW w:w="4876" w:type="dxa"/>
          </w:tcPr>
          <w:p w:rsidR="00AB6CEC" w:rsidRPr="00A22488" w:rsidRDefault="001E4C72">
            <w:pPr>
              <w:pStyle w:val="ColumnHeading"/>
              <w:rPr>
                <w:color w:val="auto"/>
              </w:rPr>
            </w:pPr>
            <w:r w:rsidRPr="00A22488">
              <w:rPr>
                <w:color w:val="auto"/>
              </w:rPr>
              <w:t>Emendamento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Articolo 8 bis</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Center"/>
              <w:rPr>
                <w:color w:val="auto"/>
              </w:rPr>
            </w:pPr>
            <w:r w:rsidRPr="00A22488">
              <w:rPr>
                <w:color w:val="auto"/>
              </w:rPr>
              <w:t>Articolo 8 quater</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Adozione di piani d’azione e misure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1. La Commissione adotta i piani d'azione e le misure mediante una decisione della Commissione in conformità del regolamento finanziario.</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2. Ai fini della coerenza dell'azione esterna dell'Unione, sia nella programmazione che nella successiva applicazione dei piani d’azione e di tali misure, la Commissione tiene conto dell'orientamento politico del Consiglio e del Parlamento europeo al riguardo.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xml:space="preserve">La Commissione informa immediatamente il Parlamento europeo in merito alla programmazione dei piani d’azione e delle misure ai sensi del presente articolo, anche per quanto concerne gli importi finanziari previsti, e informa il Parlamento europeo anche di modifiche o proroghe sostanziali di detta assistenza. Quanto prima possibile dopo l'adozione o la sostanziale modifica di una misura, e in ogni caso entro un mese dalla sua adozione, la Commissione trasmette una relazione al Parlamento europeo e al Consiglio e fornisce una descrizione generale della natura e della </w:t>
            </w:r>
            <w:r w:rsidRPr="00A22488">
              <w:rPr>
                <w:b/>
                <w:i/>
                <w:color w:val="auto"/>
              </w:rPr>
              <w:lastRenderedPageBreak/>
              <w:t>motivazione della misura adottata, della sua durata, del suo bilancio e del suo contesto, compresa la complementarità di tale misura ad altra assistenza dell'Unione, sia in corso che programmata. Per le misure di assistenza straordinaria, la Commissione indica inoltre se in che misura e in che modo garantirà la continuità della politica attuata mediante l'assistenza straordinaria mediante l'assistenza a medio e a lungo termine a norma del presente regolamento.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3. Prima di adottare piani d'azione e misure che non si basano sui documenti di programmazione di cui all'articolo 8 bis, paragrafo 2, tranne nei casi di cui all'articolo 8 bis, paragrafi 3 e 4, la Commissione adotta un atto delegato conformemente all'articolo 14 per integrare il presente regolamento definendo gli obiettivi specifici da perseguire, i risultati attesi, gli strumenti da utilizzare, le attività principali e le assegnazioni finanziarie indicative di tali piani d'azione e misure.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4. Per le singole azioni è effettuata, conformemente ai vigenti atti legislativi dell'Unione, comprese la direttiva 2011/92/UE</w:t>
            </w:r>
            <w:r w:rsidRPr="00A22488">
              <w:rPr>
                <w:b/>
                <w:i/>
                <w:color w:val="auto"/>
                <w:sz w:val="20"/>
                <w:vertAlign w:val="superscript"/>
              </w:rPr>
              <w:t>1</w:t>
            </w:r>
            <w:r w:rsidR="00E175B7">
              <w:rPr>
                <w:b/>
                <w:i/>
                <w:color w:val="auto"/>
                <w:sz w:val="20"/>
                <w:vertAlign w:val="superscript"/>
              </w:rPr>
              <w:t xml:space="preserve"> </w:t>
            </w:r>
            <w:r w:rsidRPr="00A22488">
              <w:rPr>
                <w:b/>
                <w:i/>
                <w:color w:val="auto"/>
                <w:sz w:val="20"/>
                <w:vertAlign w:val="superscript"/>
              </w:rPr>
              <w:t>bis</w:t>
            </w:r>
            <w:r w:rsidRPr="00A22488">
              <w:rPr>
                <w:b/>
                <w:i/>
                <w:color w:val="auto"/>
              </w:rPr>
              <w:t xml:space="preserve"> del Parlamento europeo e del Consiglio e la direttiva 85/337/CEE</w:t>
            </w:r>
            <w:r w:rsidRPr="00A22488">
              <w:rPr>
                <w:b/>
                <w:i/>
                <w:color w:val="auto"/>
                <w:sz w:val="20"/>
                <w:vertAlign w:val="superscript"/>
              </w:rPr>
              <w:t>1</w:t>
            </w:r>
            <w:r w:rsidR="00E175B7">
              <w:rPr>
                <w:b/>
                <w:i/>
                <w:color w:val="auto"/>
                <w:sz w:val="20"/>
                <w:vertAlign w:val="superscript"/>
              </w:rPr>
              <w:t xml:space="preserve"> </w:t>
            </w:r>
            <w:r w:rsidRPr="00A22488">
              <w:rPr>
                <w:b/>
                <w:i/>
                <w:color w:val="auto"/>
                <w:sz w:val="20"/>
                <w:vertAlign w:val="superscript"/>
              </w:rPr>
              <w:t>ter</w:t>
            </w:r>
            <w:r w:rsidRPr="00A22488">
              <w:rPr>
                <w:b/>
                <w:i/>
                <w:color w:val="auto"/>
              </w:rPr>
              <w:t xml:space="preserve"> del Consiglio, un'idonea analisi che verta sui diritti umani e sugli aspetti sociali e ambientali, anche in riferimento all'incidenza sui cambiamenti climatici e sulla biodiversità, comprendente nei casi pertinenti una valutazione dell'impatto ambientale per le azioni sensibili dal punto di vista ambientale, in particolare le grandi nuove infrastrutture.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xml:space="preserve">Sono inoltre effettuate </w:t>
            </w:r>
            <w:proofErr w:type="spellStart"/>
            <w:r w:rsidRPr="00A22488">
              <w:rPr>
                <w:b/>
                <w:i/>
                <w:color w:val="auto"/>
              </w:rPr>
              <w:t>valutazioni</w:t>
            </w:r>
            <w:proofErr w:type="spellEnd"/>
            <w:r w:rsidRPr="00A22488">
              <w:rPr>
                <w:b/>
                <w:i/>
                <w:color w:val="auto"/>
              </w:rPr>
              <w:t xml:space="preserve"> ex ante dell’impatto in materia di diritti umani, questioni di genere, sociali e del lavoro, nonché l'analisi dei conflitti e valutazione dei rischi.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Ove pertinente, nell'ambito dell'esecuzione dei programmi settoriali sono utilizzate le valutazioni strategiche che vertono sui diritti umani e sugli aspetti sociali e ambientali. La Commissione garantisce la partecipazione dei soggetti interessati a dette valutazioni e l'accesso pubblico ai risultati di tali valutazioni.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rPr>
              <w:t> __________________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sz w:val="20"/>
                <w:vertAlign w:val="superscript"/>
              </w:rPr>
              <w:t>1</w:t>
            </w:r>
            <w:r w:rsidR="00E175B7">
              <w:rPr>
                <w:b/>
                <w:i/>
                <w:color w:val="auto"/>
                <w:sz w:val="20"/>
                <w:vertAlign w:val="superscript"/>
              </w:rPr>
              <w:t xml:space="preserve"> </w:t>
            </w:r>
            <w:r w:rsidRPr="00A22488">
              <w:rPr>
                <w:b/>
                <w:i/>
                <w:color w:val="auto"/>
                <w:sz w:val="20"/>
                <w:vertAlign w:val="superscript"/>
              </w:rPr>
              <w:t xml:space="preserve">bis </w:t>
            </w:r>
            <w:r w:rsidRPr="00A22488">
              <w:rPr>
                <w:b/>
                <w:i/>
                <w:color w:val="auto"/>
              </w:rPr>
              <w:t>Direttiva 2011/92/UE del Parlamento europeo e del Consiglio, del 13 dicembre 2011, concernente la valutazione dell'impatto ambientale di determinati progetti pubblici e privati (codificazione) (GU L 26 del 28.1.2012, pag. 1). </w:t>
            </w:r>
          </w:p>
        </w:tc>
      </w:tr>
      <w:tr w:rsidR="00AB6CEC" w:rsidRPr="00A22488">
        <w:trPr>
          <w:jc w:val="center"/>
        </w:trPr>
        <w:tc>
          <w:tcPr>
            <w:tcW w:w="4876" w:type="dxa"/>
          </w:tcPr>
          <w:p w:rsidR="00AB6CEC" w:rsidRPr="00A22488" w:rsidRDefault="00AB6CEC">
            <w:pPr>
              <w:pStyle w:val="Normal6"/>
              <w:rPr>
                <w:color w:val="auto"/>
              </w:rPr>
            </w:pPr>
          </w:p>
        </w:tc>
        <w:tc>
          <w:tcPr>
            <w:tcW w:w="4876" w:type="dxa"/>
          </w:tcPr>
          <w:p w:rsidR="00AB6CEC" w:rsidRPr="00A22488" w:rsidRDefault="001E4C72">
            <w:pPr>
              <w:pStyle w:val="Normal6"/>
              <w:rPr>
                <w:color w:val="auto"/>
              </w:rPr>
            </w:pPr>
            <w:r w:rsidRPr="00A22488">
              <w:rPr>
                <w:b/>
                <w:i/>
                <w:color w:val="auto"/>
                <w:sz w:val="20"/>
                <w:vertAlign w:val="superscript"/>
              </w:rPr>
              <w:t>1</w:t>
            </w:r>
            <w:r w:rsidR="00E175B7">
              <w:rPr>
                <w:b/>
                <w:i/>
                <w:color w:val="auto"/>
                <w:sz w:val="20"/>
                <w:vertAlign w:val="superscript"/>
              </w:rPr>
              <w:t xml:space="preserve"> </w:t>
            </w:r>
            <w:r w:rsidRPr="00A22488">
              <w:rPr>
                <w:b/>
                <w:i/>
                <w:color w:val="auto"/>
                <w:sz w:val="20"/>
                <w:vertAlign w:val="superscript"/>
              </w:rPr>
              <w:t>ter</w:t>
            </w:r>
            <w:r w:rsidRPr="00A22488">
              <w:rPr>
                <w:b/>
                <w:i/>
                <w:color w:val="auto"/>
              </w:rPr>
              <w:t xml:space="preserve"> Direttiva 85/337/CEE del Consiglio, del 27 giugno 1985, concernente la valutazione dell'impatto ambientale di determinati progetti pubblici e privati (GU L 175 del 5.07.1985, pag. 40). </w:t>
            </w:r>
          </w:p>
        </w:tc>
      </w:tr>
    </w:tbl>
    <w:p w:rsidR="00AB6CEC" w:rsidRPr="00A22488" w:rsidRDefault="001E4C72" w:rsidP="00445C23">
      <w:pPr>
        <w:pStyle w:val="Olang"/>
      </w:pPr>
      <w:r w:rsidRPr="00A22488">
        <w:rPr>
          <w:color w:val="auto"/>
        </w:rPr>
        <w:t xml:space="preserve">Or. </w:t>
      </w:r>
      <w:r w:rsidRPr="00A22488">
        <w:rPr>
          <w:rStyle w:val="HideTWBExt"/>
        </w:rPr>
        <w:t>&lt;Original&gt;</w:t>
      </w:r>
      <w:r w:rsidRPr="00A22488">
        <w:rPr>
          <w:rStyle w:val="HideTWBInt"/>
        </w:rPr>
        <w:t>{EN}</w:t>
      </w:r>
      <w:r w:rsidRPr="00A22488">
        <w:rPr>
          <w:color w:val="auto"/>
        </w:rPr>
        <w:t>en</w:t>
      </w:r>
      <w:r w:rsidRPr="00A22488">
        <w:rPr>
          <w:rStyle w:val="HideTWBExt"/>
        </w:rPr>
        <w:t>&lt;/Original&gt;</w:t>
      </w:r>
    </w:p>
    <w:p w:rsidR="00AB6CEC" w:rsidRPr="00A22488" w:rsidRDefault="001E4C72">
      <w:pPr>
        <w:pStyle w:val="Olang"/>
        <w:rPr>
          <w:color w:val="auto"/>
        </w:rPr>
        <w:sectPr w:rsidR="00AB6CEC" w:rsidRPr="00A22488">
          <w:footerReference w:type="default" r:id="rId14"/>
          <w:pgSz w:w="11906" w:h="16838"/>
          <w:pgMar w:top="1134" w:right="1417" w:bottom="1417" w:left="1417" w:header="1134" w:footer="567" w:gutter="0"/>
          <w:cols w:space="708"/>
          <w:docGrid w:linePitch="360"/>
        </w:sectPr>
      </w:pPr>
      <w:r w:rsidRPr="00A22488">
        <w:rPr>
          <w:rStyle w:val="HideTWBExt"/>
        </w:rPr>
        <w:t>&lt;/Amend&gt;</w:t>
      </w:r>
    </w:p>
    <w:p w:rsidR="00AB6CEC" w:rsidRPr="00A22488" w:rsidRDefault="001E4C72">
      <w:pPr>
        <w:pStyle w:val="Interstitial1"/>
      </w:pPr>
      <w:r w:rsidRPr="00A22488">
        <w:rPr>
          <w:rStyle w:val="HideTWBExt"/>
        </w:rPr>
        <w:lastRenderedPageBreak/>
        <w:t>&lt;Amend&gt;&lt;Date&gt;</w:t>
      </w:r>
      <w:r w:rsidRPr="00A22488">
        <w:rPr>
          <w:rStyle w:val="HideTWBInt"/>
          <w:color w:val="auto"/>
        </w:rPr>
        <w:t>{21/03/2019}</w:t>
      </w:r>
      <w:r w:rsidRPr="00A22488">
        <w:rPr>
          <w:color w:val="auto"/>
        </w:rPr>
        <w:t>21.3.2019</w:t>
      </w:r>
      <w:r w:rsidRPr="00A22488">
        <w:rPr>
          <w:rStyle w:val="HideTWBExt"/>
        </w:rPr>
        <w:t>&lt;/Date&gt;</w:t>
      </w:r>
      <w:r w:rsidRPr="00A22488">
        <w:rPr>
          <w:color w:val="auto"/>
        </w:rPr>
        <w:tab/>
      </w:r>
      <w:r w:rsidRPr="00A22488">
        <w:rPr>
          <w:rStyle w:val="HideTWBExt"/>
        </w:rPr>
        <w:t>&lt;ANo&gt;</w:t>
      </w:r>
      <w:r w:rsidRPr="00A22488">
        <w:rPr>
          <w:color w:val="auto"/>
        </w:rPr>
        <w:t>A8-0174</w:t>
      </w:r>
      <w:r w:rsidRPr="00A22488">
        <w:rPr>
          <w:rStyle w:val="HideTWBExt"/>
        </w:rPr>
        <w:t>&lt;/ANo&gt;</w:t>
      </w:r>
      <w:r w:rsidRPr="00A22488">
        <w:rPr>
          <w:color w:val="auto"/>
        </w:rPr>
        <w:t>/</w:t>
      </w:r>
      <w:r w:rsidRPr="00A22488">
        <w:rPr>
          <w:rStyle w:val="HideTWBExt"/>
        </w:rPr>
        <w:t>&lt;NumAm&gt;</w:t>
      </w:r>
      <w:r w:rsidRPr="00A22488">
        <w:rPr>
          <w:color w:val="auto"/>
        </w:rPr>
        <w:t>128</w:t>
      </w:r>
      <w:r w:rsidRPr="00A22488">
        <w:rPr>
          <w:rStyle w:val="HideTWBExt"/>
        </w:rPr>
        <w:t>&lt;/NumAm&gt;</w:t>
      </w:r>
    </w:p>
    <w:p w:rsidR="00AB6CEC" w:rsidRPr="00A22488" w:rsidRDefault="001E4C72">
      <w:pPr>
        <w:pStyle w:val="AMNumberTabs"/>
      </w:pPr>
      <w:r w:rsidRPr="00A22488">
        <w:rPr>
          <w:color w:val="auto"/>
        </w:rPr>
        <w:t>Emendamento</w:t>
      </w:r>
      <w:r w:rsidRPr="00A22488">
        <w:rPr>
          <w:color w:val="auto"/>
        </w:rPr>
        <w:tab/>
      </w:r>
      <w:r w:rsidRPr="00A22488">
        <w:rPr>
          <w:color w:val="auto"/>
        </w:rPr>
        <w:tab/>
      </w:r>
      <w:r w:rsidRPr="00A22488">
        <w:rPr>
          <w:rStyle w:val="HideTWBExt"/>
        </w:rPr>
        <w:t>&lt;NumAm&gt;</w:t>
      </w:r>
      <w:r w:rsidRPr="00A22488">
        <w:rPr>
          <w:color w:val="auto"/>
        </w:rPr>
        <w:t>128</w:t>
      </w:r>
      <w:r w:rsidRPr="00A22488">
        <w:rPr>
          <w:rStyle w:val="HideTWBExt"/>
        </w:rPr>
        <w:t>&lt;/NumAm&gt;</w:t>
      </w:r>
    </w:p>
    <w:p w:rsidR="00AB6CEC" w:rsidRPr="00A22488" w:rsidRDefault="001E4C72">
      <w:pPr>
        <w:pStyle w:val="NormalBold"/>
      </w:pPr>
      <w:r w:rsidRPr="00A22488">
        <w:rPr>
          <w:rStyle w:val="HideTWBExt"/>
        </w:rPr>
        <w:t>&lt;RepeatBlock-By&gt;&lt;Members&gt;</w:t>
      </w:r>
      <w:r w:rsidRPr="00A22488">
        <w:rPr>
          <w:color w:val="auto"/>
        </w:rPr>
        <w:t>David McAllister</w:t>
      </w:r>
      <w:r w:rsidRPr="00A22488">
        <w:rPr>
          <w:rStyle w:val="HideTWBExt"/>
        </w:rPr>
        <w:t>&lt;/Members&gt;</w:t>
      </w:r>
    </w:p>
    <w:p w:rsidR="00AB6CEC" w:rsidRPr="00A22488" w:rsidRDefault="001E4C72">
      <w:r w:rsidRPr="00A22488">
        <w:rPr>
          <w:rStyle w:val="HideTWBExt"/>
        </w:rPr>
        <w:t>&lt;AuNomDe&gt;</w:t>
      </w:r>
      <w:r w:rsidRPr="00A22488">
        <w:rPr>
          <w:rStyle w:val="HideTWBInt"/>
          <w:color w:val="auto"/>
        </w:rPr>
        <w:t>{AFET}</w:t>
      </w:r>
      <w:r w:rsidRPr="00A22488">
        <w:t>a nome della commissione per gli affari esteri</w:t>
      </w:r>
      <w:r w:rsidRPr="00A22488">
        <w:rPr>
          <w:rStyle w:val="HideTWBExt"/>
        </w:rPr>
        <w:t>&lt;/AuNomDe&gt;</w:t>
      </w:r>
    </w:p>
    <w:p w:rsidR="00AB6CEC" w:rsidRPr="00A22488" w:rsidRDefault="001E4C72">
      <w:r w:rsidRPr="00A22488">
        <w:rPr>
          <w:rStyle w:val="HideTWBExt"/>
        </w:rPr>
        <w:t>&lt;/RepeatBlock-By&gt;</w:t>
      </w:r>
    </w:p>
    <w:p w:rsidR="00AB6CEC" w:rsidRPr="00A22488" w:rsidRDefault="001E4C72">
      <w:pPr>
        <w:pStyle w:val="ProjRap"/>
      </w:pPr>
      <w:r w:rsidRPr="00A22488">
        <w:rPr>
          <w:rStyle w:val="HideTWBExt"/>
        </w:rPr>
        <w:t>&lt;TitreType&gt;</w:t>
      </w:r>
      <w:r w:rsidRPr="00A22488">
        <w:t>Relazione</w:t>
      </w:r>
      <w:r w:rsidRPr="00A22488">
        <w:rPr>
          <w:rStyle w:val="HideTWBExt"/>
        </w:rPr>
        <w:t>&lt;/TitreType&gt;</w:t>
      </w:r>
      <w:r w:rsidRPr="00A22488">
        <w:tab/>
        <w:t>A8-0174/2019</w:t>
      </w:r>
    </w:p>
    <w:p w:rsidR="00AB6CEC" w:rsidRPr="00A22488" w:rsidRDefault="001E4C72">
      <w:pPr>
        <w:pStyle w:val="NormalBold"/>
      </w:pPr>
      <w:r w:rsidRPr="00A22488">
        <w:rPr>
          <w:rStyle w:val="HideTWBExt"/>
        </w:rPr>
        <w:t>&lt;Rapporteur&gt;</w:t>
      </w:r>
      <w:r w:rsidRPr="00A22488">
        <w:rPr>
          <w:color w:val="auto"/>
        </w:rPr>
        <w:t>José Ignacio Salafranca Sánchez-Neyra</w:t>
      </w:r>
      <w:r w:rsidRPr="00A22488">
        <w:rPr>
          <w:rStyle w:val="HideTWBExt"/>
        </w:rPr>
        <w:t>&lt;/Rapporteur&gt;</w:t>
      </w:r>
    </w:p>
    <w:p w:rsidR="00AB6CEC" w:rsidRPr="00A22488" w:rsidRDefault="001E4C72">
      <w:pPr>
        <w:pStyle w:val="Normal12"/>
      </w:pPr>
      <w:r w:rsidRPr="00A22488">
        <w:rPr>
          <w:rStyle w:val="HideTWBExt"/>
        </w:rPr>
        <w:t>&lt;Titre&gt;</w:t>
      </w:r>
      <w:r w:rsidRPr="00A22488">
        <w:t>Istituzione di uno strumento di assistenza preadesione (IPA III)</w:t>
      </w:r>
      <w:r w:rsidRPr="00A22488">
        <w:rPr>
          <w:rStyle w:val="HideTWBExt"/>
        </w:rPr>
        <w:t>&lt;/Titre&gt;</w:t>
      </w:r>
    </w:p>
    <w:p w:rsidR="00AB6CEC" w:rsidRPr="00A22488" w:rsidRDefault="001E4C72">
      <w:pPr>
        <w:pStyle w:val="Normal12"/>
      </w:pPr>
      <w:r w:rsidRPr="00A22488">
        <w:rPr>
          <w:rStyle w:val="HideTWBExt"/>
        </w:rPr>
        <w:t>&lt;DocRef&gt;</w:t>
      </w:r>
      <w:r w:rsidRPr="00A22488">
        <w:rPr>
          <w:color w:val="auto"/>
        </w:rPr>
        <w:t>(COM(2018)0465 – C8-0274/2018 – 2018/0247(COD))</w:t>
      </w:r>
      <w:r w:rsidRPr="00A22488">
        <w:rPr>
          <w:rStyle w:val="HideTWBExt"/>
        </w:rPr>
        <w:t>&lt;/DocRef&gt;</w:t>
      </w:r>
    </w:p>
    <w:p w:rsidR="00AB6CEC" w:rsidRPr="00A22488" w:rsidRDefault="00AB6CEC">
      <w:pPr>
        <w:pStyle w:val="Normal12"/>
      </w:pPr>
    </w:p>
    <w:p w:rsidR="00AB6CEC" w:rsidRPr="00A22488" w:rsidRDefault="001E4C72">
      <w:pPr>
        <w:pStyle w:val="NormalBold"/>
      </w:pPr>
      <w:r w:rsidRPr="00A22488">
        <w:rPr>
          <w:rStyle w:val="HideTWBExt"/>
        </w:rPr>
        <w:t>&lt;DocAmend&gt;</w:t>
      </w:r>
      <w:r w:rsidRPr="00A22488">
        <w:rPr>
          <w:color w:val="auto"/>
        </w:rPr>
        <w:t>Proposta di regolamento</w:t>
      </w:r>
      <w:r w:rsidRPr="00A22488">
        <w:rPr>
          <w:rStyle w:val="HideTWBExt"/>
        </w:rPr>
        <w:t>&lt;/DocAmend&gt;</w:t>
      </w:r>
    </w:p>
    <w:p w:rsidR="00AB6CEC" w:rsidRPr="00A22488" w:rsidRDefault="001E4C72">
      <w:pPr>
        <w:pStyle w:val="NormalBold"/>
      </w:pPr>
      <w:r w:rsidRPr="00A22488">
        <w:rPr>
          <w:rStyle w:val="HideTWBExt"/>
        </w:rPr>
        <w:t>&lt;Article&gt;</w:t>
      </w:r>
      <w:r w:rsidRPr="00A22488">
        <w:rPr>
          <w:color w:val="auto"/>
        </w:rPr>
        <w:t>Articolo 14 – paragrafo 2</w:t>
      </w:r>
      <w:r w:rsidRPr="00A2248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6CEC" w:rsidRPr="00A22488">
        <w:trPr>
          <w:trHeight w:hRule="exact" w:val="240"/>
          <w:jc w:val="center"/>
        </w:trPr>
        <w:tc>
          <w:tcPr>
            <w:tcW w:w="9752" w:type="dxa"/>
            <w:gridSpan w:val="2"/>
          </w:tcPr>
          <w:p w:rsidR="00AB6CEC" w:rsidRPr="00A22488" w:rsidRDefault="00AB6CEC"/>
        </w:tc>
      </w:tr>
      <w:tr w:rsidR="00AB6CEC" w:rsidRPr="00A22488">
        <w:trPr>
          <w:trHeight w:val="240"/>
          <w:jc w:val="center"/>
        </w:trPr>
        <w:tc>
          <w:tcPr>
            <w:tcW w:w="4876" w:type="dxa"/>
          </w:tcPr>
          <w:p w:rsidR="00AB6CEC" w:rsidRPr="00A22488" w:rsidRDefault="001E4C72">
            <w:pPr>
              <w:pStyle w:val="ColumnHeading"/>
              <w:rPr>
                <w:color w:val="auto"/>
              </w:rPr>
            </w:pPr>
            <w:r w:rsidRPr="00A22488">
              <w:rPr>
                <w:color w:val="auto"/>
              </w:rPr>
              <w:t>Testo della Commissione</w:t>
            </w:r>
          </w:p>
        </w:tc>
        <w:tc>
          <w:tcPr>
            <w:tcW w:w="4876" w:type="dxa"/>
          </w:tcPr>
          <w:p w:rsidR="00AB6CEC" w:rsidRPr="00A22488" w:rsidRDefault="001E4C72">
            <w:pPr>
              <w:pStyle w:val="ColumnHeading"/>
              <w:rPr>
                <w:color w:val="auto"/>
              </w:rPr>
            </w:pPr>
            <w:r w:rsidRPr="00A22488">
              <w:rPr>
                <w:color w:val="auto"/>
              </w:rPr>
              <w:t>Emendamento</w:t>
            </w:r>
          </w:p>
        </w:tc>
      </w:tr>
      <w:tr w:rsidR="00AB6CEC" w:rsidRPr="00A22488">
        <w:trPr>
          <w:jc w:val="center"/>
        </w:trPr>
        <w:tc>
          <w:tcPr>
            <w:tcW w:w="4876" w:type="dxa"/>
          </w:tcPr>
          <w:p w:rsidR="00AB6CEC" w:rsidRPr="00A22488" w:rsidRDefault="001E4C72">
            <w:pPr>
              <w:pStyle w:val="Normal6"/>
              <w:rPr>
                <w:color w:val="auto"/>
              </w:rPr>
            </w:pPr>
            <w:r w:rsidRPr="00A22488">
              <w:rPr>
                <w:color w:val="auto"/>
              </w:rPr>
              <w:t>2.</w:t>
            </w:r>
            <w:r w:rsidRPr="00A22488">
              <w:rPr>
                <w:color w:val="auto"/>
              </w:rPr>
              <w:tab/>
              <w:t>È conferito alla Commissione il potere di adottare gli atti delegati di cui all’articolo 13.</w:t>
            </w:r>
          </w:p>
        </w:tc>
        <w:tc>
          <w:tcPr>
            <w:tcW w:w="4876" w:type="dxa"/>
          </w:tcPr>
          <w:p w:rsidR="00AB6CEC" w:rsidRPr="00A22488" w:rsidRDefault="001E4C72">
            <w:pPr>
              <w:pStyle w:val="Normal6"/>
              <w:rPr>
                <w:color w:val="auto"/>
              </w:rPr>
            </w:pPr>
            <w:r w:rsidRPr="00A22488">
              <w:rPr>
                <w:color w:val="auto"/>
              </w:rPr>
              <w:t>2.</w:t>
            </w:r>
            <w:r w:rsidRPr="00A22488">
              <w:rPr>
                <w:color w:val="auto"/>
              </w:rPr>
              <w:tab/>
              <w:t xml:space="preserve">È conferito alla Commissione il potere di adottare gli atti delegati di cui </w:t>
            </w:r>
            <w:r w:rsidRPr="00A22488">
              <w:rPr>
                <w:b/>
                <w:i/>
                <w:color w:val="auto"/>
              </w:rPr>
              <w:t>all'artico</w:t>
            </w:r>
            <w:bookmarkStart w:id="0" w:name="_GoBack"/>
            <w:bookmarkEnd w:id="0"/>
            <w:r w:rsidRPr="00A22488">
              <w:rPr>
                <w:b/>
                <w:i/>
                <w:color w:val="auto"/>
              </w:rPr>
              <w:t xml:space="preserve">lo 7, paragrafo 3, </w:t>
            </w:r>
            <w:r w:rsidRPr="00A22488">
              <w:rPr>
                <w:color w:val="auto"/>
              </w:rPr>
              <w:t xml:space="preserve">all’articolo </w:t>
            </w:r>
            <w:r w:rsidRPr="00A22488">
              <w:rPr>
                <w:b/>
                <w:i/>
                <w:color w:val="auto"/>
              </w:rPr>
              <w:t xml:space="preserve">7 bis), agli articoli 7 ter), paragrafi 1 e 2, all’articolo 8 quater), paragrafo 3, e agli articoli </w:t>
            </w:r>
            <w:r w:rsidRPr="00A22488">
              <w:rPr>
                <w:color w:val="auto"/>
              </w:rPr>
              <w:t>13</w:t>
            </w:r>
            <w:r w:rsidRPr="00A22488">
              <w:rPr>
                <w:b/>
                <w:i/>
                <w:color w:val="auto"/>
              </w:rPr>
              <w:t xml:space="preserve"> e 15</w:t>
            </w:r>
            <w:r w:rsidRPr="00A22488">
              <w:rPr>
                <w:color w:val="auto"/>
              </w:rPr>
              <w:t>.</w:t>
            </w:r>
          </w:p>
        </w:tc>
      </w:tr>
    </w:tbl>
    <w:p w:rsidR="00AB6CEC" w:rsidRPr="00A22488" w:rsidRDefault="001E4C72" w:rsidP="00445C23">
      <w:pPr>
        <w:pStyle w:val="Olang"/>
      </w:pPr>
      <w:r w:rsidRPr="00A22488">
        <w:rPr>
          <w:color w:val="auto"/>
        </w:rPr>
        <w:t xml:space="preserve">Or. </w:t>
      </w:r>
      <w:r w:rsidRPr="00A22488">
        <w:rPr>
          <w:rStyle w:val="HideTWBExt"/>
        </w:rPr>
        <w:t>&lt;Original&gt;</w:t>
      </w:r>
      <w:r w:rsidRPr="00A22488">
        <w:rPr>
          <w:rStyle w:val="HideTWBInt"/>
        </w:rPr>
        <w:t>{EN}</w:t>
      </w:r>
      <w:r w:rsidRPr="00A22488">
        <w:rPr>
          <w:color w:val="auto"/>
        </w:rPr>
        <w:t>en</w:t>
      </w:r>
      <w:r w:rsidRPr="00A22488">
        <w:rPr>
          <w:rStyle w:val="HideTWBExt"/>
        </w:rPr>
        <w:t>&lt;/Original&gt;</w:t>
      </w:r>
    </w:p>
    <w:p w:rsidR="00AB6CEC" w:rsidRPr="00A22488" w:rsidRDefault="001E4C72">
      <w:pPr>
        <w:pStyle w:val="Olang"/>
        <w:rPr>
          <w:color w:val="auto"/>
        </w:rPr>
        <w:sectPr w:rsidR="00AB6CEC" w:rsidRPr="00A22488">
          <w:footerReference w:type="default" r:id="rId15"/>
          <w:pgSz w:w="11906" w:h="16838"/>
          <w:pgMar w:top="1134" w:right="1417" w:bottom="1417" w:left="1417" w:header="1134" w:footer="567" w:gutter="0"/>
          <w:cols w:space="708"/>
          <w:docGrid w:linePitch="360"/>
        </w:sectPr>
      </w:pPr>
      <w:r w:rsidRPr="00A22488">
        <w:rPr>
          <w:rStyle w:val="HideTWBExt"/>
        </w:rPr>
        <w:t>&lt;/Amend&gt;</w:t>
      </w:r>
    </w:p>
    <w:p w:rsidR="00AB6CEC" w:rsidRPr="00A22488" w:rsidRDefault="001E4C72">
      <w:pPr>
        <w:pStyle w:val="Interstitial1"/>
      </w:pPr>
      <w:r w:rsidRPr="00A22488">
        <w:rPr>
          <w:rStyle w:val="HideTWBExt"/>
        </w:rPr>
        <w:lastRenderedPageBreak/>
        <w:t>&lt;Amend&gt;&lt;Date&gt;</w:t>
      </w:r>
      <w:r w:rsidRPr="00A22488">
        <w:rPr>
          <w:rStyle w:val="HideTWBInt"/>
          <w:color w:val="auto"/>
        </w:rPr>
        <w:t>{21/03/2019}</w:t>
      </w:r>
      <w:r w:rsidRPr="00A22488">
        <w:rPr>
          <w:color w:val="auto"/>
        </w:rPr>
        <w:t>21.3.2019</w:t>
      </w:r>
      <w:r w:rsidRPr="00A22488">
        <w:rPr>
          <w:rStyle w:val="HideTWBExt"/>
        </w:rPr>
        <w:t>&lt;/Date&gt;</w:t>
      </w:r>
      <w:r w:rsidRPr="00A22488">
        <w:rPr>
          <w:color w:val="auto"/>
        </w:rPr>
        <w:tab/>
      </w:r>
      <w:r w:rsidRPr="00A22488">
        <w:rPr>
          <w:rStyle w:val="HideTWBExt"/>
        </w:rPr>
        <w:t>&lt;ANo&gt;</w:t>
      </w:r>
      <w:r w:rsidRPr="00A22488">
        <w:rPr>
          <w:color w:val="auto"/>
        </w:rPr>
        <w:t>A8-0174</w:t>
      </w:r>
      <w:r w:rsidRPr="00A22488">
        <w:rPr>
          <w:rStyle w:val="HideTWBExt"/>
        </w:rPr>
        <w:t>&lt;/ANo&gt;</w:t>
      </w:r>
      <w:r w:rsidRPr="00A22488">
        <w:rPr>
          <w:color w:val="auto"/>
        </w:rPr>
        <w:t>/</w:t>
      </w:r>
      <w:r w:rsidRPr="00A22488">
        <w:rPr>
          <w:rStyle w:val="HideTWBExt"/>
        </w:rPr>
        <w:t>&lt;NumAm&gt;</w:t>
      </w:r>
      <w:r w:rsidRPr="00A22488">
        <w:rPr>
          <w:color w:val="auto"/>
        </w:rPr>
        <w:t>129</w:t>
      </w:r>
      <w:r w:rsidRPr="00A22488">
        <w:rPr>
          <w:rStyle w:val="HideTWBExt"/>
        </w:rPr>
        <w:t>&lt;/NumAm&gt;</w:t>
      </w:r>
    </w:p>
    <w:p w:rsidR="00AB6CEC" w:rsidRPr="00A22488" w:rsidRDefault="001E4C72">
      <w:pPr>
        <w:pStyle w:val="AMNumberTabs"/>
      </w:pPr>
      <w:r w:rsidRPr="00A22488">
        <w:rPr>
          <w:color w:val="auto"/>
        </w:rPr>
        <w:t>Emendamento</w:t>
      </w:r>
      <w:r w:rsidRPr="00A22488">
        <w:rPr>
          <w:color w:val="auto"/>
        </w:rPr>
        <w:tab/>
      </w:r>
      <w:r w:rsidRPr="00A22488">
        <w:rPr>
          <w:color w:val="auto"/>
        </w:rPr>
        <w:tab/>
      </w:r>
      <w:r w:rsidRPr="00A22488">
        <w:rPr>
          <w:rStyle w:val="HideTWBExt"/>
        </w:rPr>
        <w:t>&lt;NumAm&gt;</w:t>
      </w:r>
      <w:r w:rsidRPr="00A22488">
        <w:rPr>
          <w:color w:val="auto"/>
        </w:rPr>
        <w:t>129</w:t>
      </w:r>
      <w:r w:rsidRPr="00A22488">
        <w:rPr>
          <w:rStyle w:val="HideTWBExt"/>
        </w:rPr>
        <w:t>&lt;/NumAm&gt;</w:t>
      </w:r>
    </w:p>
    <w:p w:rsidR="00AB6CEC" w:rsidRPr="00A22488" w:rsidRDefault="001E4C72">
      <w:pPr>
        <w:pStyle w:val="NormalBold"/>
      </w:pPr>
      <w:r w:rsidRPr="00A22488">
        <w:rPr>
          <w:rStyle w:val="HideTWBExt"/>
        </w:rPr>
        <w:t>&lt;RepeatBlock-By&gt;&lt;Members&gt;</w:t>
      </w:r>
      <w:r w:rsidRPr="00A22488">
        <w:rPr>
          <w:color w:val="auto"/>
        </w:rPr>
        <w:t>David McAllister</w:t>
      </w:r>
      <w:r w:rsidRPr="00A22488">
        <w:rPr>
          <w:rStyle w:val="HideTWBExt"/>
        </w:rPr>
        <w:t>&lt;/Members&gt;</w:t>
      </w:r>
    </w:p>
    <w:p w:rsidR="00AB6CEC" w:rsidRPr="00A22488" w:rsidRDefault="001E4C72">
      <w:r w:rsidRPr="00A22488">
        <w:rPr>
          <w:rStyle w:val="HideTWBExt"/>
        </w:rPr>
        <w:t>&lt;AuNomDe&gt;</w:t>
      </w:r>
      <w:r w:rsidRPr="00A22488">
        <w:rPr>
          <w:rStyle w:val="HideTWBInt"/>
          <w:color w:val="auto"/>
        </w:rPr>
        <w:t>{AFET}</w:t>
      </w:r>
      <w:r w:rsidRPr="00A22488">
        <w:t>a nome della commissione per gli affari esteri</w:t>
      </w:r>
      <w:r w:rsidRPr="00A22488">
        <w:rPr>
          <w:rStyle w:val="HideTWBExt"/>
        </w:rPr>
        <w:t>&lt;/AuNomDe&gt;</w:t>
      </w:r>
    </w:p>
    <w:p w:rsidR="00AB6CEC" w:rsidRPr="00A22488" w:rsidRDefault="001E4C72">
      <w:r w:rsidRPr="00A22488">
        <w:rPr>
          <w:rStyle w:val="HideTWBExt"/>
        </w:rPr>
        <w:t>&lt;/RepeatBlock-By&gt;</w:t>
      </w:r>
    </w:p>
    <w:p w:rsidR="00AB6CEC" w:rsidRPr="00A22488" w:rsidRDefault="001E4C72">
      <w:pPr>
        <w:pStyle w:val="ProjRap"/>
      </w:pPr>
      <w:r w:rsidRPr="00A22488">
        <w:rPr>
          <w:rStyle w:val="HideTWBExt"/>
        </w:rPr>
        <w:t>&lt;TitreType&gt;</w:t>
      </w:r>
      <w:r w:rsidRPr="00A22488">
        <w:t>Relazione</w:t>
      </w:r>
      <w:r w:rsidRPr="00A22488">
        <w:rPr>
          <w:rStyle w:val="HideTWBExt"/>
        </w:rPr>
        <w:t>&lt;/TitreType&gt;</w:t>
      </w:r>
      <w:r w:rsidRPr="00A22488">
        <w:tab/>
        <w:t>A8-0174/2019</w:t>
      </w:r>
    </w:p>
    <w:p w:rsidR="00AB6CEC" w:rsidRPr="00A22488" w:rsidRDefault="001E4C72">
      <w:pPr>
        <w:pStyle w:val="NormalBold"/>
      </w:pPr>
      <w:r w:rsidRPr="00A22488">
        <w:rPr>
          <w:rStyle w:val="HideTWBExt"/>
        </w:rPr>
        <w:t>&lt;Rapporteur&gt;</w:t>
      </w:r>
      <w:r w:rsidRPr="00A22488">
        <w:rPr>
          <w:color w:val="auto"/>
        </w:rPr>
        <w:t>José Ignacio Salafranca Sánchez-Neyra</w:t>
      </w:r>
      <w:r w:rsidRPr="00A22488">
        <w:rPr>
          <w:rStyle w:val="HideTWBExt"/>
        </w:rPr>
        <w:t>&lt;/Rapporteur&gt;</w:t>
      </w:r>
    </w:p>
    <w:p w:rsidR="00AB6CEC" w:rsidRPr="00A22488" w:rsidRDefault="001E4C72">
      <w:pPr>
        <w:pStyle w:val="Normal12"/>
      </w:pPr>
      <w:r w:rsidRPr="00A22488">
        <w:rPr>
          <w:rStyle w:val="HideTWBExt"/>
        </w:rPr>
        <w:t>&lt;Titre&gt;</w:t>
      </w:r>
      <w:r w:rsidRPr="00A22488">
        <w:t>Istituzione di uno strumento di assistenza preadesione (IPA III)</w:t>
      </w:r>
      <w:r w:rsidRPr="00A22488">
        <w:rPr>
          <w:rStyle w:val="HideTWBExt"/>
        </w:rPr>
        <w:t>&lt;/Titre&gt;</w:t>
      </w:r>
    </w:p>
    <w:p w:rsidR="00AB6CEC" w:rsidRPr="00A22488" w:rsidRDefault="001E4C72">
      <w:pPr>
        <w:pStyle w:val="Normal12"/>
      </w:pPr>
      <w:r w:rsidRPr="00A22488">
        <w:rPr>
          <w:rStyle w:val="HideTWBExt"/>
        </w:rPr>
        <w:t>&lt;DocRef&gt;</w:t>
      </w:r>
      <w:r w:rsidRPr="00A22488">
        <w:rPr>
          <w:color w:val="auto"/>
        </w:rPr>
        <w:t>(COM(2018)0465 – C8-0274/2018 – 2018/0247(COD))</w:t>
      </w:r>
      <w:r w:rsidRPr="00A22488">
        <w:rPr>
          <w:rStyle w:val="HideTWBExt"/>
        </w:rPr>
        <w:t>&lt;/DocRef&gt;</w:t>
      </w:r>
    </w:p>
    <w:p w:rsidR="00AB6CEC" w:rsidRPr="00A22488" w:rsidRDefault="00AB6CEC">
      <w:pPr>
        <w:pStyle w:val="Normal12"/>
      </w:pPr>
    </w:p>
    <w:p w:rsidR="00AB6CEC" w:rsidRPr="00A22488" w:rsidRDefault="001E4C72">
      <w:pPr>
        <w:pStyle w:val="NormalBold"/>
      </w:pPr>
      <w:r w:rsidRPr="00A22488">
        <w:rPr>
          <w:rStyle w:val="HideTWBExt"/>
        </w:rPr>
        <w:t>&lt;DocAmend&gt;</w:t>
      </w:r>
      <w:r w:rsidRPr="00A22488">
        <w:rPr>
          <w:color w:val="auto"/>
        </w:rPr>
        <w:t>Proposta di regolamento</w:t>
      </w:r>
      <w:r w:rsidRPr="00A22488">
        <w:rPr>
          <w:rStyle w:val="HideTWBExt"/>
        </w:rPr>
        <w:t>&lt;/DocAmend&gt;</w:t>
      </w:r>
    </w:p>
    <w:p w:rsidR="00AB6CEC" w:rsidRPr="00A22488" w:rsidRDefault="001E4C72">
      <w:pPr>
        <w:pStyle w:val="NormalBold"/>
      </w:pPr>
      <w:r w:rsidRPr="00A22488">
        <w:rPr>
          <w:rStyle w:val="HideTWBExt"/>
        </w:rPr>
        <w:t>&lt;Article&gt;</w:t>
      </w:r>
      <w:r w:rsidRPr="00A22488">
        <w:rPr>
          <w:color w:val="auto"/>
        </w:rPr>
        <w:t>Allegato I – comma 8</w:t>
      </w:r>
      <w:r w:rsidRPr="00A2248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6CEC" w:rsidRPr="00A22488">
        <w:trPr>
          <w:trHeight w:hRule="exact" w:val="240"/>
          <w:jc w:val="center"/>
        </w:trPr>
        <w:tc>
          <w:tcPr>
            <w:tcW w:w="9752" w:type="dxa"/>
            <w:gridSpan w:val="2"/>
          </w:tcPr>
          <w:p w:rsidR="00AB6CEC" w:rsidRPr="00A22488" w:rsidRDefault="00AB6CEC"/>
        </w:tc>
      </w:tr>
      <w:tr w:rsidR="00AB6CEC" w:rsidRPr="00A22488">
        <w:trPr>
          <w:trHeight w:val="240"/>
          <w:jc w:val="center"/>
        </w:trPr>
        <w:tc>
          <w:tcPr>
            <w:tcW w:w="4876" w:type="dxa"/>
          </w:tcPr>
          <w:p w:rsidR="00AB6CEC" w:rsidRPr="00A22488" w:rsidRDefault="001E4C72">
            <w:pPr>
              <w:pStyle w:val="ColumnHeading"/>
              <w:rPr>
                <w:color w:val="auto"/>
              </w:rPr>
            </w:pPr>
            <w:r w:rsidRPr="00A22488">
              <w:rPr>
                <w:color w:val="auto"/>
              </w:rPr>
              <w:t>Testo della Commissione</w:t>
            </w:r>
          </w:p>
        </w:tc>
        <w:tc>
          <w:tcPr>
            <w:tcW w:w="4876" w:type="dxa"/>
          </w:tcPr>
          <w:p w:rsidR="00AB6CEC" w:rsidRPr="00A22488" w:rsidRDefault="001E4C72">
            <w:pPr>
              <w:pStyle w:val="ColumnHeading"/>
              <w:rPr>
                <w:color w:val="auto"/>
              </w:rPr>
            </w:pPr>
            <w:r w:rsidRPr="00A22488">
              <w:rPr>
                <w:color w:val="auto"/>
              </w:rPr>
              <w:t>Emendamento</w:t>
            </w:r>
          </w:p>
        </w:tc>
      </w:tr>
      <w:tr w:rsidR="00AB6CEC" w:rsidRPr="00A22488">
        <w:trPr>
          <w:jc w:val="center"/>
        </w:trPr>
        <w:tc>
          <w:tcPr>
            <w:tcW w:w="4876" w:type="dxa"/>
          </w:tcPr>
          <w:p w:rsidR="00AB6CEC" w:rsidRPr="00A22488" w:rsidRDefault="001E4C72">
            <w:pPr>
              <w:pStyle w:val="Normal6"/>
              <w:rPr>
                <w:color w:val="auto"/>
              </w:rPr>
            </w:pPr>
            <w:r w:rsidRPr="00A22488">
              <w:rPr>
                <w:b/>
                <w:i/>
                <w:color w:val="auto"/>
              </w:rPr>
              <w:t xml:space="preserve">Ex </w:t>
            </w:r>
            <w:r w:rsidRPr="00A22488">
              <w:rPr>
                <w:color w:val="auto"/>
              </w:rPr>
              <w:t>Repubblica</w:t>
            </w:r>
            <w:r w:rsidRPr="00A22488">
              <w:rPr>
                <w:b/>
                <w:i/>
                <w:color w:val="auto"/>
              </w:rPr>
              <w:t xml:space="preserve"> jugoslava</w:t>
            </w:r>
            <w:r w:rsidRPr="00A22488">
              <w:rPr>
                <w:color w:val="auto"/>
              </w:rPr>
              <w:t xml:space="preserve"> di Macedonia</w:t>
            </w:r>
          </w:p>
        </w:tc>
        <w:tc>
          <w:tcPr>
            <w:tcW w:w="4876" w:type="dxa"/>
          </w:tcPr>
          <w:p w:rsidR="00AB6CEC" w:rsidRPr="00A22488" w:rsidRDefault="001E4C72">
            <w:pPr>
              <w:pStyle w:val="Normal6"/>
              <w:rPr>
                <w:color w:val="auto"/>
              </w:rPr>
            </w:pPr>
            <w:r w:rsidRPr="00A22488">
              <w:rPr>
                <w:color w:val="auto"/>
              </w:rPr>
              <w:t>Repubblica di Macedonia</w:t>
            </w:r>
            <w:r w:rsidRPr="00A22488">
              <w:rPr>
                <w:b/>
                <w:i/>
                <w:color w:val="auto"/>
              </w:rPr>
              <w:t xml:space="preserve"> del nord</w:t>
            </w:r>
          </w:p>
        </w:tc>
      </w:tr>
    </w:tbl>
    <w:p w:rsidR="00AB6CEC" w:rsidRPr="00A22488" w:rsidRDefault="001E4C72" w:rsidP="00445C23">
      <w:pPr>
        <w:pStyle w:val="Olang"/>
      </w:pPr>
      <w:r w:rsidRPr="00A22488">
        <w:rPr>
          <w:color w:val="auto"/>
        </w:rPr>
        <w:t xml:space="preserve">Or. </w:t>
      </w:r>
      <w:r w:rsidRPr="00A22488">
        <w:rPr>
          <w:rStyle w:val="HideTWBExt"/>
        </w:rPr>
        <w:t>&lt;Original&gt;</w:t>
      </w:r>
      <w:r w:rsidRPr="00A22488">
        <w:rPr>
          <w:rStyle w:val="HideTWBInt"/>
        </w:rPr>
        <w:t>{EN}</w:t>
      </w:r>
      <w:r w:rsidRPr="00A22488">
        <w:rPr>
          <w:color w:val="auto"/>
        </w:rPr>
        <w:t>en</w:t>
      </w:r>
      <w:r w:rsidRPr="00A22488">
        <w:rPr>
          <w:rStyle w:val="HideTWBExt"/>
        </w:rPr>
        <w:t>&lt;/Original&gt;</w:t>
      </w:r>
    </w:p>
    <w:p w:rsidR="00AB6CEC" w:rsidRPr="00A22488" w:rsidRDefault="001E4C72">
      <w:pPr>
        <w:pStyle w:val="Olang"/>
      </w:pPr>
      <w:r w:rsidRPr="00A22488">
        <w:rPr>
          <w:rStyle w:val="HideTWBExt"/>
        </w:rPr>
        <w:t>&lt;/Amend&gt;&lt;/RepeatBlock-Amend&gt;</w:t>
      </w:r>
    </w:p>
    <w:sectPr w:rsidR="00AB6CEC" w:rsidRPr="00A22488">
      <w:footerReference w:type="default" r:id="rId16"/>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F0" w:rsidRPr="00A22488" w:rsidRDefault="001E4C72">
      <w:r w:rsidRPr="00A22488">
        <w:separator/>
      </w:r>
    </w:p>
  </w:endnote>
  <w:endnote w:type="continuationSeparator" w:id="0">
    <w:p w:rsidR="00EF22F0" w:rsidRPr="00A22488" w:rsidRDefault="001E4C72">
      <w:r w:rsidRPr="00A224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0" w:rsidRDefault="00CB1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88" w:rsidRPr="00A22488" w:rsidRDefault="00A22488" w:rsidP="00A22488">
    <w:pPr>
      <w:pStyle w:val="Footer"/>
    </w:pPr>
    <w:r w:rsidRPr="00A22488">
      <w:rPr>
        <w:rStyle w:val="HideTWBExt"/>
      </w:rPr>
      <w:t>&lt;PathFdR&gt;</w:t>
    </w:r>
    <w:r w:rsidRPr="00A22488">
      <w:t>AM\1180276IT.docx</w:t>
    </w:r>
    <w:r w:rsidRPr="00A22488">
      <w:rPr>
        <w:rStyle w:val="HideTWBExt"/>
      </w:rPr>
      <w:t>&lt;/PathFdR&gt;</w:t>
    </w:r>
    <w:r w:rsidRPr="00A22488">
      <w:tab/>
    </w:r>
    <w:r w:rsidRPr="00A22488">
      <w:tab/>
      <w:t>PE</w:t>
    </w:r>
    <w:r w:rsidRPr="00A22488">
      <w:rPr>
        <w:rStyle w:val="HideTWBExt"/>
      </w:rPr>
      <w:t>&lt;NoPE&gt;</w:t>
    </w:r>
    <w:r w:rsidRPr="00A22488">
      <w:t>635.499</w:t>
    </w:r>
    <w:r w:rsidRPr="00A22488">
      <w:rPr>
        <w:rStyle w:val="HideTWBExt"/>
      </w:rPr>
      <w:t>&lt;/NoPE&gt;&lt;Version&gt;</w:t>
    </w:r>
    <w:r w:rsidRPr="00A22488">
      <w:t>v01-00</w:t>
    </w:r>
    <w:r w:rsidRPr="00A22488">
      <w:rPr>
        <w:rStyle w:val="HideTWBExt"/>
      </w:rPr>
      <w:t>&lt;/Version&gt;</w:t>
    </w:r>
  </w:p>
  <w:p w:rsidR="00AB6CEC" w:rsidRPr="00A22488" w:rsidRDefault="00A22488" w:rsidP="00A22488">
    <w:pPr>
      <w:pStyle w:val="Footer2"/>
      <w:tabs>
        <w:tab w:val="center" w:pos="4535"/>
        <w:tab w:val="right" w:pos="9921"/>
      </w:tabs>
    </w:pPr>
    <w:r w:rsidRPr="00A22488">
      <w:t>IT</w:t>
    </w:r>
    <w:r w:rsidRPr="00A22488">
      <w:tab/>
    </w:r>
    <w:r w:rsidRPr="00A22488">
      <w:rPr>
        <w:b w:val="0"/>
        <w:i/>
        <w:color w:val="C0C0C0"/>
        <w:sz w:val="22"/>
      </w:rPr>
      <w:t>Unita nella diversità</w:t>
    </w:r>
    <w:r w:rsidRPr="00A22488">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0" w:rsidRDefault="00CB1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88" w:rsidRDefault="00A22488" w:rsidP="00A22488">
    <w:pPr>
      <w:pStyle w:val="Footer"/>
    </w:pPr>
    <w:r w:rsidRPr="00A22488">
      <w:rPr>
        <w:rStyle w:val="HideTWBExt"/>
      </w:rPr>
      <w:t>&lt;PathFdR&gt;</w:t>
    </w:r>
    <w:r>
      <w:t>AM\1180276IT.docx</w:t>
    </w:r>
    <w:r w:rsidRPr="00A22488">
      <w:rPr>
        <w:rStyle w:val="HideTWBExt"/>
      </w:rPr>
      <w:t>&lt;/PathFdR&gt;</w:t>
    </w:r>
    <w:r>
      <w:tab/>
    </w:r>
    <w:r>
      <w:tab/>
      <w:t>PE</w:t>
    </w:r>
    <w:r w:rsidRPr="00A22488">
      <w:rPr>
        <w:rStyle w:val="HideTWBExt"/>
      </w:rPr>
      <w:t>&lt;NoPE&gt;</w:t>
    </w:r>
    <w:r>
      <w:t>635.499</w:t>
    </w:r>
    <w:r w:rsidRPr="00A22488">
      <w:rPr>
        <w:rStyle w:val="HideTWBExt"/>
      </w:rPr>
      <w:t>&lt;/NoPE&gt;&lt;Version&gt;</w:t>
    </w:r>
    <w:r>
      <w:t>v01-00</w:t>
    </w:r>
    <w:r w:rsidRPr="00A22488">
      <w:rPr>
        <w:rStyle w:val="HideTWBExt"/>
      </w:rPr>
      <w:t>&lt;/Version&gt;</w:t>
    </w:r>
  </w:p>
  <w:p w:rsidR="00AB6CEC" w:rsidRDefault="00A22488" w:rsidP="00A22488">
    <w:pPr>
      <w:pStyle w:val="Footer2"/>
      <w:tabs>
        <w:tab w:val="center" w:pos="4535"/>
        <w:tab w:val="right" w:pos="9921"/>
      </w:tabs>
    </w:pPr>
    <w:r>
      <w:t>IT</w:t>
    </w:r>
    <w:r>
      <w:tab/>
    </w:r>
    <w:r w:rsidRPr="00A22488">
      <w:rPr>
        <w:b w:val="0"/>
        <w:i/>
        <w:color w:val="C0C0C0"/>
        <w:sz w:val="22"/>
      </w:rPr>
      <w:t>Unita nella diversità</w:t>
    </w:r>
    <w:r>
      <w:tab/>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88" w:rsidRDefault="00A22488" w:rsidP="00A22488">
    <w:pPr>
      <w:pStyle w:val="Footer"/>
    </w:pPr>
    <w:r w:rsidRPr="00A22488">
      <w:rPr>
        <w:rStyle w:val="HideTWBExt"/>
      </w:rPr>
      <w:t>&lt;PathFdR&gt;</w:t>
    </w:r>
    <w:r>
      <w:t>AM\1180276IT.docx</w:t>
    </w:r>
    <w:r w:rsidRPr="00A22488">
      <w:rPr>
        <w:rStyle w:val="HideTWBExt"/>
      </w:rPr>
      <w:t>&lt;/PathFdR&gt;</w:t>
    </w:r>
    <w:r>
      <w:tab/>
    </w:r>
    <w:r>
      <w:tab/>
      <w:t>PE</w:t>
    </w:r>
    <w:r w:rsidRPr="00A22488">
      <w:rPr>
        <w:rStyle w:val="HideTWBExt"/>
      </w:rPr>
      <w:t>&lt;NoPE&gt;</w:t>
    </w:r>
    <w:r>
      <w:t>635.499</w:t>
    </w:r>
    <w:r w:rsidRPr="00A22488">
      <w:rPr>
        <w:rStyle w:val="HideTWBExt"/>
      </w:rPr>
      <w:t>&lt;/NoPE&gt;&lt;Version&gt;</w:t>
    </w:r>
    <w:r>
      <w:t>v01-00</w:t>
    </w:r>
    <w:r w:rsidRPr="00A22488">
      <w:rPr>
        <w:rStyle w:val="HideTWBExt"/>
      </w:rPr>
      <w:t>&lt;/Version&gt;</w:t>
    </w:r>
  </w:p>
  <w:p w:rsidR="00AB6CEC" w:rsidRDefault="00A22488" w:rsidP="00A22488">
    <w:pPr>
      <w:pStyle w:val="Footer2"/>
      <w:tabs>
        <w:tab w:val="center" w:pos="4535"/>
        <w:tab w:val="right" w:pos="9921"/>
      </w:tabs>
    </w:pPr>
    <w:r>
      <w:t>IT</w:t>
    </w:r>
    <w:r>
      <w:tab/>
    </w:r>
    <w:r w:rsidRPr="00A22488">
      <w:rPr>
        <w:b w:val="0"/>
        <w:i/>
        <w:color w:val="C0C0C0"/>
        <w:sz w:val="22"/>
      </w:rPr>
      <w:t>Unita nella diversità</w:t>
    </w:r>
    <w:r>
      <w:tab/>
      <w:t>IT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88" w:rsidRDefault="00A22488" w:rsidP="00A22488">
    <w:pPr>
      <w:pStyle w:val="Footer"/>
    </w:pPr>
    <w:r w:rsidRPr="00A22488">
      <w:rPr>
        <w:rStyle w:val="HideTWBExt"/>
      </w:rPr>
      <w:t>&lt;PathFdR&gt;</w:t>
    </w:r>
    <w:r>
      <w:t>AM\1180276IT.docx</w:t>
    </w:r>
    <w:r w:rsidRPr="00A22488">
      <w:rPr>
        <w:rStyle w:val="HideTWBExt"/>
      </w:rPr>
      <w:t>&lt;/PathFdR&gt;</w:t>
    </w:r>
    <w:r>
      <w:tab/>
    </w:r>
    <w:r>
      <w:tab/>
      <w:t>PE</w:t>
    </w:r>
    <w:r w:rsidRPr="00A22488">
      <w:rPr>
        <w:rStyle w:val="HideTWBExt"/>
      </w:rPr>
      <w:t>&lt;NoPE&gt;</w:t>
    </w:r>
    <w:r>
      <w:t>635.499</w:t>
    </w:r>
    <w:r w:rsidRPr="00A22488">
      <w:rPr>
        <w:rStyle w:val="HideTWBExt"/>
      </w:rPr>
      <w:t>&lt;/NoPE&gt;&lt;Version&gt;</w:t>
    </w:r>
    <w:r>
      <w:t>v01-00</w:t>
    </w:r>
    <w:r w:rsidRPr="00A22488">
      <w:rPr>
        <w:rStyle w:val="HideTWBExt"/>
      </w:rPr>
      <w:t>&lt;/Version&gt;</w:t>
    </w:r>
  </w:p>
  <w:p w:rsidR="00AB6CEC" w:rsidRDefault="00A22488" w:rsidP="00A22488">
    <w:pPr>
      <w:pStyle w:val="Footer2"/>
      <w:tabs>
        <w:tab w:val="center" w:pos="4535"/>
        <w:tab w:val="right" w:pos="9921"/>
      </w:tabs>
    </w:pPr>
    <w:r>
      <w:t>IT</w:t>
    </w:r>
    <w:r>
      <w:tab/>
    </w:r>
    <w:r w:rsidRPr="00A22488">
      <w:rPr>
        <w:b w:val="0"/>
        <w:i/>
        <w:color w:val="C0C0C0"/>
        <w:sz w:val="22"/>
      </w:rPr>
      <w:t>Unita nella diversità</w:t>
    </w:r>
    <w:r>
      <w:tab/>
      <w:t>IT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88" w:rsidRDefault="00A22488" w:rsidP="00A22488">
    <w:pPr>
      <w:pStyle w:val="Footer"/>
    </w:pPr>
    <w:r w:rsidRPr="00A22488">
      <w:rPr>
        <w:rStyle w:val="HideTWBExt"/>
      </w:rPr>
      <w:t>&lt;PathFdR&gt;</w:t>
    </w:r>
    <w:r>
      <w:t>AM\1180276IT.docx</w:t>
    </w:r>
    <w:r w:rsidRPr="00A22488">
      <w:rPr>
        <w:rStyle w:val="HideTWBExt"/>
      </w:rPr>
      <w:t>&lt;/PathFdR&gt;</w:t>
    </w:r>
    <w:r>
      <w:tab/>
    </w:r>
    <w:r>
      <w:tab/>
      <w:t>PE</w:t>
    </w:r>
    <w:r w:rsidRPr="00A22488">
      <w:rPr>
        <w:rStyle w:val="HideTWBExt"/>
      </w:rPr>
      <w:t>&lt;NoPE&gt;</w:t>
    </w:r>
    <w:r>
      <w:t>635.499</w:t>
    </w:r>
    <w:r w:rsidRPr="00A22488">
      <w:rPr>
        <w:rStyle w:val="HideTWBExt"/>
      </w:rPr>
      <w:t>&lt;/NoPE&gt;&lt;Version&gt;</w:t>
    </w:r>
    <w:r>
      <w:t>v01-00</w:t>
    </w:r>
    <w:r w:rsidRPr="00A22488">
      <w:rPr>
        <w:rStyle w:val="HideTWBExt"/>
      </w:rPr>
      <w:t>&lt;/Version&gt;</w:t>
    </w:r>
  </w:p>
  <w:p w:rsidR="00AB6CEC" w:rsidRDefault="00A22488" w:rsidP="00A22488">
    <w:pPr>
      <w:pStyle w:val="Footer2"/>
      <w:tabs>
        <w:tab w:val="center" w:pos="4535"/>
        <w:tab w:val="right" w:pos="9921"/>
      </w:tabs>
    </w:pPr>
    <w:r>
      <w:t>IT</w:t>
    </w:r>
    <w:r>
      <w:tab/>
    </w:r>
    <w:r w:rsidRPr="00A22488">
      <w:rPr>
        <w:b w:val="0"/>
        <w:i/>
        <w:color w:val="C0C0C0"/>
        <w:sz w:val="22"/>
      </w:rPr>
      <w:t>Unita nella diversità</w:t>
    </w:r>
    <w:r>
      <w:tab/>
      <w:t>IT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88" w:rsidRDefault="00A22488" w:rsidP="00A22488">
    <w:pPr>
      <w:pStyle w:val="Footer"/>
    </w:pPr>
    <w:r w:rsidRPr="00A22488">
      <w:rPr>
        <w:rStyle w:val="HideTWBExt"/>
      </w:rPr>
      <w:t>&lt;PathFdR&gt;</w:t>
    </w:r>
    <w:r>
      <w:t>AM\1180276IT.docx</w:t>
    </w:r>
    <w:r w:rsidRPr="00A22488">
      <w:rPr>
        <w:rStyle w:val="HideTWBExt"/>
      </w:rPr>
      <w:t>&lt;/PathFdR&gt;</w:t>
    </w:r>
    <w:r>
      <w:tab/>
    </w:r>
    <w:r>
      <w:tab/>
      <w:t>PE</w:t>
    </w:r>
    <w:r w:rsidRPr="00A22488">
      <w:rPr>
        <w:rStyle w:val="HideTWBExt"/>
      </w:rPr>
      <w:t>&lt;NoPE&gt;</w:t>
    </w:r>
    <w:r>
      <w:t>635.499</w:t>
    </w:r>
    <w:r w:rsidRPr="00A22488">
      <w:rPr>
        <w:rStyle w:val="HideTWBExt"/>
      </w:rPr>
      <w:t>&lt;/NoPE&gt;&lt;Version&gt;</w:t>
    </w:r>
    <w:r>
      <w:t>v01-00</w:t>
    </w:r>
    <w:r w:rsidRPr="00A22488">
      <w:rPr>
        <w:rStyle w:val="HideTWBExt"/>
      </w:rPr>
      <w:t>&lt;/Version&gt;</w:t>
    </w:r>
  </w:p>
  <w:p w:rsidR="00AB6CEC" w:rsidRDefault="00A22488" w:rsidP="00A22488">
    <w:pPr>
      <w:pStyle w:val="Footer2"/>
      <w:tabs>
        <w:tab w:val="center" w:pos="4535"/>
        <w:tab w:val="right" w:pos="9921"/>
      </w:tabs>
    </w:pPr>
    <w:r>
      <w:t>IT</w:t>
    </w:r>
    <w:r>
      <w:tab/>
    </w:r>
    <w:r w:rsidRPr="00A22488">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F0" w:rsidRPr="00A22488" w:rsidRDefault="001E4C72">
      <w:r w:rsidRPr="00A22488">
        <w:separator/>
      </w:r>
    </w:p>
  </w:footnote>
  <w:footnote w:type="continuationSeparator" w:id="0">
    <w:p w:rsidR="00EF22F0" w:rsidRPr="00A22488" w:rsidRDefault="001E4C72">
      <w:r w:rsidRPr="00A2248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0" w:rsidRDefault="00CB1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0" w:rsidRDefault="00CB1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0" w:rsidRDefault="00CB1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35.499"/>
    <w:docVar w:name="TXTPEorAP" w:val="PE"/>
    <w:docVar w:name="TXTVERSION" w:val="01-00"/>
  </w:docVars>
  <w:rsids>
    <w:rsidRoot w:val="00AB6CEC"/>
    <w:rsid w:val="000B6621"/>
    <w:rsid w:val="001E4C72"/>
    <w:rsid w:val="00445C23"/>
    <w:rsid w:val="00712FA7"/>
    <w:rsid w:val="00A22488"/>
    <w:rsid w:val="00AB5CC4"/>
    <w:rsid w:val="00AB6CEC"/>
    <w:rsid w:val="00BD04A0"/>
    <w:rsid w:val="00CB1590"/>
    <w:rsid w:val="00E175B7"/>
    <w:rsid w:val="00EA5FD3"/>
    <w:rsid w:val="00EF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7F5C4"/>
  <w15:docId w15:val="{54BF537D-0811-463B-A1B7-BDBAC902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1764</Words>
  <Characters>12949</Characters>
  <Application>Microsoft Office Word</Application>
  <DocSecurity>0</DocSecurity>
  <Lines>517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BUGGIANI Giovanna</cp:lastModifiedBy>
  <cp:revision>2</cp:revision>
  <dcterms:created xsi:type="dcterms:W3CDTF">2019-03-25T13:09:00Z</dcterms:created>
  <dcterms:modified xsi:type="dcterms:W3CDTF">2019-03-25T13:09:00Z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1180276</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20190321-072610-012492-924011</vt:lpwstr>
  </property>
  <property fmtid="{D5CDD505-2E9C-101B-9397-08002B2CF9AE}" pid="6" name="FooterPath">
    <vt:lpwstr>AM\1180276IT.docx</vt:lpwstr>
  </property>
  <property fmtid="{D5CDD505-2E9C-101B-9397-08002B2CF9AE}" pid="7" name="PE Number">
    <vt:lpwstr>635.499</vt:lpwstr>
  </property>
  <property fmtid="{D5CDD505-2E9C-101B-9397-08002B2CF9AE}" pid="8" name="UID">
    <vt:lpwstr>eu.europa.europarl-DIN1-2019-0000013438_01.00-en-01.00_text-xml</vt:lpwstr>
  </property>
  <property fmtid="{D5CDD505-2E9C-101B-9397-08002B2CF9AE}" pid="9" name="SDLStudio">
    <vt:lpwstr/>
  </property>
  <property fmtid="{D5CDD505-2E9C-101B-9397-08002B2CF9AE}" pid="10" name="&lt;Extension&gt;">
    <vt:lpwstr>IT</vt:lpwstr>
  </property>
  <property fmtid="{D5CDD505-2E9C-101B-9397-08002B2CF9AE}" pid="11" name="Bookout">
    <vt:lpwstr>OK - 2019/03/25 14:09</vt:lpwstr>
  </property>
</Properties>
</file>