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3B5094" w:rsidRPr="008B1699" w14:paraId="340FEDBE" w14:textId="77777777" w:rsidTr="006A3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95ACB24" w14:textId="77777777" w:rsidR="003B5094" w:rsidRPr="008B1699" w:rsidRDefault="00783064" w:rsidP="006A3D0F">
            <w:pPr>
              <w:pStyle w:val="EPName"/>
            </w:pPr>
            <w:bookmarkStart w:id="0" w:name="_GoBack"/>
            <w:bookmarkEnd w:id="0"/>
            <w:r>
              <w:t>Európsky parlament</w:t>
            </w:r>
          </w:p>
          <w:p w14:paraId="2B3009D5" w14:textId="77777777" w:rsidR="003B5094" w:rsidRPr="008B1699" w:rsidRDefault="00C57FBD" w:rsidP="00C57FB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6CF5FDA1" w14:textId="77777777" w:rsidR="003B5094" w:rsidRPr="008B1699" w:rsidRDefault="009E2DFB" w:rsidP="006A3D0F">
            <w:pPr>
              <w:pStyle w:val="EPLogo"/>
            </w:pPr>
            <w:r>
              <w:pict w14:anchorId="03FC4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1pt">
                  <v:imagedata r:id="rId7" o:title="EP logo RGB_Mute"/>
                </v:shape>
              </w:pict>
            </w:r>
          </w:p>
        </w:tc>
      </w:tr>
    </w:tbl>
    <w:p w14:paraId="62206D5C" w14:textId="77777777" w:rsidR="00540DB0" w:rsidRPr="008B1699" w:rsidRDefault="00540DB0" w:rsidP="00540DB0">
      <w:pPr>
        <w:pStyle w:val="LineTop"/>
      </w:pPr>
    </w:p>
    <w:p w14:paraId="11104C60" w14:textId="6C97810E" w:rsidR="00540DB0" w:rsidRPr="008B1699" w:rsidRDefault="007116BA" w:rsidP="00540DB0">
      <w:pPr>
        <w:pStyle w:val="ZCommittee"/>
      </w:pPr>
      <w:r>
        <w:t>Dokument na schôdzu</w:t>
      </w:r>
    </w:p>
    <w:p w14:paraId="394EAC35" w14:textId="77777777" w:rsidR="00540DB0" w:rsidRPr="008B1699" w:rsidRDefault="00540DB0" w:rsidP="00540DB0">
      <w:pPr>
        <w:pStyle w:val="LineBottom"/>
      </w:pPr>
    </w:p>
    <w:p w14:paraId="1A3142F9" w14:textId="7B9501BF" w:rsidR="00C1531C" w:rsidRPr="008B1699" w:rsidRDefault="007116BA">
      <w:pPr>
        <w:pStyle w:val="RefProc"/>
      </w:pPr>
      <w:r>
        <w:rPr>
          <w:rStyle w:val="HideTWBExt"/>
        </w:rPr>
        <w:t>&lt;NoDocSe&gt;</w:t>
      </w:r>
      <w:r>
        <w:t>A8-0099/2019</w:t>
      </w:r>
      <w:r>
        <w:rPr>
          <w:rStyle w:val="HideTWBExt"/>
        </w:rPr>
        <w:t>&lt;/NoDocSe&gt;</w:t>
      </w:r>
    </w:p>
    <w:p w14:paraId="6EE31C80" w14:textId="23C94036" w:rsidR="00C1531C" w:rsidRPr="008B1699" w:rsidRDefault="00C1531C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{27/02/2019}</w:t>
      </w:r>
      <w:r>
        <w:t>27.2.2019</w:t>
      </w:r>
      <w:r>
        <w:rPr>
          <w:rStyle w:val="HideTWBExt"/>
        </w:rPr>
        <w:t>&lt;/Date&gt;</w:t>
      </w:r>
    </w:p>
    <w:p w14:paraId="19C956BC" w14:textId="0A31B0B1" w:rsidR="00C1531C" w:rsidRPr="008B1699" w:rsidRDefault="00C1531C">
      <w:pPr>
        <w:pStyle w:val="TypeDoc"/>
      </w:pPr>
      <w:r>
        <w:rPr>
          <w:rStyle w:val="HideTWBExt"/>
          <w:b w:val="0"/>
        </w:rPr>
        <w:t>&lt;TitreType&gt;</w:t>
      </w:r>
      <w:r>
        <w:t>SPRÁVA</w:t>
      </w:r>
      <w:r>
        <w:rPr>
          <w:rStyle w:val="HideTWBExt"/>
          <w:b w:val="0"/>
        </w:rPr>
        <w:t>&lt;/TitreType&gt;</w:t>
      </w:r>
    </w:p>
    <w:p w14:paraId="5C112411" w14:textId="0856A417" w:rsidR="00C1531C" w:rsidRPr="008B1699" w:rsidRDefault="00C1531C">
      <w:pPr>
        <w:pStyle w:val="CoverNormal"/>
      </w:pPr>
      <w:r>
        <w:rPr>
          <w:rStyle w:val="HideTWBExt"/>
        </w:rPr>
        <w:t>&lt;Titre&gt;</w:t>
      </w:r>
      <w:r>
        <w:t>o absolutóriu za plnenie všeobecného rozpočtu Európskej únie za rozpočtový rok 2017, oddiel VIII – Európsky ombudsman</w:t>
      </w:r>
      <w:r>
        <w:rPr>
          <w:rStyle w:val="HideTWBExt"/>
        </w:rPr>
        <w:t>&lt;/Titre&gt;</w:t>
      </w:r>
    </w:p>
    <w:p w14:paraId="18A17BBE" w14:textId="77777777" w:rsidR="00C1531C" w:rsidRPr="008B1699" w:rsidRDefault="00C1531C" w:rsidP="008A4DC4">
      <w:pPr>
        <w:pStyle w:val="Cover24"/>
      </w:pPr>
      <w:r>
        <w:rPr>
          <w:rStyle w:val="HideTWBExt"/>
        </w:rPr>
        <w:t>&lt;DocRef&gt;</w:t>
      </w:r>
      <w:r>
        <w:t>(2018/2174(DEC))</w:t>
      </w:r>
      <w:r>
        <w:rPr>
          <w:rStyle w:val="HideTWBExt"/>
        </w:rPr>
        <w:t>&lt;/DocRef&gt;</w:t>
      </w:r>
    </w:p>
    <w:p w14:paraId="0614DA28" w14:textId="77777777" w:rsidR="00C1531C" w:rsidRPr="008B1699" w:rsidRDefault="00C1531C">
      <w:pPr>
        <w:pStyle w:val="Cover24"/>
      </w:pPr>
      <w:r>
        <w:rPr>
          <w:rStyle w:val="HideTWBExt"/>
        </w:rPr>
        <w:t>&lt;Commission&gt;</w:t>
      </w:r>
      <w:r>
        <w:rPr>
          <w:rStyle w:val="HideTWBInt"/>
        </w:rPr>
        <w:t>{CONT}</w:t>
      </w:r>
      <w:r>
        <w:t>Výbor pre kontrolu rozpočtu</w:t>
      </w:r>
      <w:r>
        <w:rPr>
          <w:rStyle w:val="HideTWBExt"/>
        </w:rPr>
        <w:t>&lt;/Commission&gt;</w:t>
      </w:r>
    </w:p>
    <w:p w14:paraId="6901D17F" w14:textId="77777777" w:rsidR="00C1531C" w:rsidRPr="008B1699" w:rsidRDefault="00783064">
      <w:pPr>
        <w:pStyle w:val="Cover24"/>
      </w:pPr>
      <w:r>
        <w:t xml:space="preserve">Spravodajca: </w:t>
      </w:r>
      <w:r>
        <w:rPr>
          <w:rStyle w:val="HideTWBExt"/>
        </w:rPr>
        <w:t>&lt;Depute&gt;</w:t>
      </w:r>
      <w:r>
        <w:t>Arndt Kohn</w:t>
      </w:r>
      <w:r>
        <w:rPr>
          <w:rStyle w:val="HideTWBExt"/>
        </w:rPr>
        <w:t>&lt;/Depute&gt;</w:t>
      </w:r>
    </w:p>
    <w:p w14:paraId="05CEF259" w14:textId="77777777" w:rsidR="00C1531C" w:rsidRPr="008B1699" w:rsidRDefault="00C1531C" w:rsidP="003B5094">
      <w:pPr>
        <w:widowControl/>
        <w:tabs>
          <w:tab w:val="center" w:pos="4677"/>
        </w:tabs>
      </w:pPr>
      <w:r>
        <w:br w:type="page"/>
      </w:r>
    </w:p>
    <w:p w14:paraId="6F33E173" w14:textId="77777777" w:rsidR="00C1531C" w:rsidRPr="008B1699" w:rsidRDefault="00783064" w:rsidP="003B5094">
      <w:pPr>
        <w:widowControl/>
        <w:tabs>
          <w:tab w:val="center" w:pos="4677"/>
        </w:tabs>
      </w:pPr>
      <w:r>
        <w:t>PR_DEC_Other</w:t>
      </w:r>
    </w:p>
    <w:p w14:paraId="345CDD8F" w14:textId="77777777" w:rsidR="00C1531C" w:rsidRPr="008B1699" w:rsidRDefault="00783064">
      <w:pPr>
        <w:pStyle w:val="TOCHeading"/>
      </w:pPr>
      <w:r>
        <w:t>OBSAH</w:t>
      </w:r>
    </w:p>
    <w:p w14:paraId="1394345D" w14:textId="77777777" w:rsidR="009E2DFB" w:rsidRDefault="00783064" w:rsidP="000B47E5">
      <w:pPr>
        <w:pStyle w:val="TOCPage"/>
        <w:rPr>
          <w:noProof/>
        </w:rPr>
      </w:pPr>
      <w:r>
        <w:t>Strana</w:t>
      </w:r>
      <w:r w:rsidR="00C1531C" w:rsidRPr="008B1699">
        <w:fldChar w:fldCharType="begin"/>
      </w:r>
      <w:r w:rsidR="00C1531C" w:rsidRPr="008B1699">
        <w:instrText xml:space="preserve"> TOC \t "PageHeading</w:instrText>
      </w:r>
      <w:r w:rsidR="007116BA">
        <w:instrText>;</w:instrText>
      </w:r>
      <w:r w:rsidR="00FD18F9" w:rsidRPr="008B1699">
        <w:instrText>3</w:instrText>
      </w:r>
      <w:r w:rsidR="00C1531C" w:rsidRPr="008B1699">
        <w:instrText xml:space="preserve">" </w:instrText>
      </w:r>
      <w:r w:rsidR="00C1531C" w:rsidRPr="008B1699">
        <w:fldChar w:fldCharType="separate"/>
      </w:r>
    </w:p>
    <w:p w14:paraId="37A98577" w14:textId="19607895" w:rsidR="009E2DFB" w:rsidRDefault="009E2DFB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1. NÁVRH ROZHODNUTIA EURÓPSKEHO PARLAMENTU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_Toc3544499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71EA1D" w14:textId="590F7A07" w:rsidR="009E2DFB" w:rsidRDefault="009E2DFB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2. NÁVRH UZNESENIA EURÓPSKEHO PARLAMENTU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_Toc3544500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62F4A1B" w14:textId="62E33279" w:rsidR="009E2DFB" w:rsidRDefault="009E2DFB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INFORMÁCIE O PRIJATÍ V GESTORSKOM VÝBORE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_Toc3544501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F3AB31E" w14:textId="415BE258" w:rsidR="009E2DFB" w:rsidRDefault="009E2DFB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ZÁVEREČNÉ HLASOVANIE PODĽA MIEN V GESTORSKOM VÝBORE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_Toc3544502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6A0F7C3" w14:textId="77777777" w:rsidR="00C1531C" w:rsidRPr="008B1699" w:rsidRDefault="00C1531C">
      <w:pPr>
        <w:pStyle w:val="PageHeading"/>
      </w:pPr>
      <w:r w:rsidRPr="008B1699">
        <w:rPr>
          <w:rFonts w:ascii="Times New Roman" w:hAnsi="Times New Roman"/>
        </w:rPr>
        <w:fldChar w:fldCharType="end"/>
      </w:r>
    </w:p>
    <w:p w14:paraId="184DF8FD" w14:textId="77777777" w:rsidR="00C1531C" w:rsidRPr="008B1699" w:rsidRDefault="00C1531C" w:rsidP="004D13BA">
      <w:pPr>
        <w:pStyle w:val="PageHeading"/>
      </w:pPr>
      <w:r>
        <w:br w:type="page"/>
      </w:r>
      <w:bookmarkStart w:id="1" w:name="Decision1"/>
      <w:bookmarkStart w:id="2" w:name="_Toc26759888"/>
      <w:bookmarkStart w:id="3" w:name="_Toc86200285"/>
      <w:bookmarkStart w:id="4" w:name="_Toc3544499"/>
      <w:r>
        <w:lastRenderedPageBreak/>
        <w:t>1. NÁVRH ROZHODNUTIA EURÓPSKEHO PARLAMENTU</w:t>
      </w:r>
      <w:bookmarkEnd w:id="4"/>
    </w:p>
    <w:p w14:paraId="0255D336" w14:textId="734EABF9" w:rsidR="00C1531C" w:rsidRPr="008B1699" w:rsidRDefault="00873C25">
      <w:pPr>
        <w:pStyle w:val="NormalBold"/>
      </w:pPr>
      <w:bookmarkStart w:id="5" w:name="DecisionTitle1"/>
      <w:bookmarkEnd w:id="1"/>
      <w:r>
        <w:t>o absolutóriu za plnenie všeobecného rozpočtu Európskej únie za rozpočtový rok 2017, oddiel VIII – Európsky ombudsman</w:t>
      </w:r>
    </w:p>
    <w:bookmarkEnd w:id="5"/>
    <w:p w14:paraId="3194752B" w14:textId="77777777" w:rsidR="00C1531C" w:rsidRPr="008B1699" w:rsidRDefault="00783064">
      <w:pPr>
        <w:pStyle w:val="Normal12Bold"/>
      </w:pPr>
      <w:r>
        <w:t>(2018/2174(DEC))</w:t>
      </w:r>
    </w:p>
    <w:p w14:paraId="275FAF18" w14:textId="77777777" w:rsidR="00C1531C" w:rsidRPr="008B1699" w:rsidRDefault="00783064">
      <w:pPr>
        <w:pStyle w:val="Normal12"/>
      </w:pPr>
      <w:r>
        <w:rPr>
          <w:i/>
        </w:rPr>
        <w:t>Európsky parlament,</w:t>
      </w:r>
    </w:p>
    <w:p w14:paraId="5ECB1A78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všeobecný rozpočet Európskej únie na rozpočtový rok 2017</w:t>
      </w:r>
      <w:r w:rsidRPr="008E1838">
        <w:rPr>
          <w:rStyle w:val="FootnoteReference"/>
        </w:rPr>
        <w:footnoteReference w:id="1"/>
      </w:r>
      <w:r>
        <w:t>,</w:t>
      </w:r>
    </w:p>
    <w:p w14:paraId="30C35D9D" w14:textId="131072B3" w:rsidR="00873C25" w:rsidRPr="008E1838" w:rsidRDefault="00873C25" w:rsidP="00873C25">
      <w:pPr>
        <w:pStyle w:val="Normal12Hanging"/>
      </w:pPr>
      <w:r>
        <w:t>–</w:t>
      </w:r>
      <w:r>
        <w:tab/>
        <w:t>so zreteľom na konsolidovanú ročnú účtovnú závierku Európskej únie za rozpočtový rok 2017 (COM(2018) 521 – C8-0325/2018)</w:t>
      </w:r>
      <w:r w:rsidRPr="008E1838">
        <w:rPr>
          <w:rStyle w:val="FootnoteReference"/>
        </w:rPr>
        <w:footnoteReference w:id="2"/>
      </w:r>
      <w:r>
        <w:t>,</w:t>
      </w:r>
    </w:p>
    <w:p w14:paraId="51EB18B7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výročnú správu európskeho ombudsmana o vnútorných auditoch vykonaných v roku 2017 pre orgán udeľujúci absolutórium,</w:t>
      </w:r>
    </w:p>
    <w:p w14:paraId="432005AA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výročnú správu Dvora audítorov o plnení rozpočtu za rozpočtový rok 2017 spolu s odpoveďami inštitúcií</w:t>
      </w:r>
      <w:r w:rsidRPr="008E1838">
        <w:rPr>
          <w:rStyle w:val="FootnoteReference"/>
        </w:rPr>
        <w:footnoteReference w:id="3"/>
      </w:r>
      <w:r>
        <w:t>,</w:t>
      </w:r>
    </w:p>
    <w:p w14:paraId="3E8614CA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vyhlásenie o vierohodnosti</w:t>
      </w:r>
      <w:r w:rsidRPr="008E1838">
        <w:rPr>
          <w:rStyle w:val="FootnoteReference"/>
        </w:rPr>
        <w:footnoteReference w:id="4"/>
      </w:r>
      <w:r>
        <w:t xml:space="preserve"> vedenia účtov a zákonnosti a riadnosti príslušných operácií, ktoré poskytol Dvor audítorov za rozpočtový rok 2017 v súlade s článkom 287 Zmluvy o fungovaní Európskej únie,</w:t>
      </w:r>
    </w:p>
    <w:p w14:paraId="38D84E8B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článok 314 ods. 10 a články 317, 318 a 319 Zmluvy o fungovaní Európskej únie,</w:t>
      </w:r>
    </w:p>
    <w:p w14:paraId="5D49F712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nariadenie Európskeho parlamentu a Rady (EÚ, Euratom) č. 966/2012 z 25. októbra 2012 o rozpočtových pravidlách, ktoré sa vzťahujú na všeobecný rozpočet Únie, a zrušení nariadenia Rady (ES, Euratom) č. 1605/2002</w:t>
      </w:r>
      <w:r w:rsidRPr="008E1838">
        <w:rPr>
          <w:rStyle w:val="FootnoteReference"/>
        </w:rPr>
        <w:footnoteReference w:id="5"/>
      </w:r>
      <w:r>
        <w:t>, a najmä na jeho články 55, 99, 164, 165 a 166,</w:t>
      </w:r>
    </w:p>
    <w:p w14:paraId="79985FCD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nariadenie Európskeho parlamentu a Rady (EÚ, Euratom)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</w:t>
      </w:r>
      <w:r w:rsidRPr="008E1838">
        <w:rPr>
          <w:rStyle w:val="FootnoteReference"/>
        </w:rPr>
        <w:footnoteReference w:id="6"/>
      </w:r>
      <w:r>
        <w:t>, a najmä na jeho články 59, 118, 260, 261 a 262,</w:t>
      </w:r>
    </w:p>
    <w:p w14:paraId="65A03BBF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článok 94 rokovacieho poriadku a prílohu IV k rokovaciemu poriadku,</w:t>
      </w:r>
    </w:p>
    <w:p w14:paraId="4F210D64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správu Výboru pre kontrolu rozpočtu (A8-0099/2019),</w:t>
      </w:r>
    </w:p>
    <w:p w14:paraId="420B8A99" w14:textId="77777777" w:rsidR="00873C25" w:rsidRPr="008E1838" w:rsidRDefault="00873C25" w:rsidP="00873C25">
      <w:pPr>
        <w:pStyle w:val="Normal12Hanging"/>
      </w:pPr>
      <w:r>
        <w:t>1.</w:t>
      </w:r>
      <w:r>
        <w:tab/>
        <w:t>udeľuje európskej ombudsmanke absolutórium za plnenie rozpočtu za rozpočtový rok 2017;</w:t>
      </w:r>
    </w:p>
    <w:p w14:paraId="4FD0DE2E" w14:textId="77777777" w:rsidR="00873C25" w:rsidRPr="008E1838" w:rsidRDefault="00873C25" w:rsidP="00873C25">
      <w:pPr>
        <w:pStyle w:val="Normal12Hanging"/>
      </w:pPr>
      <w:r>
        <w:lastRenderedPageBreak/>
        <w:t>2.</w:t>
      </w:r>
      <w:r>
        <w:tab/>
        <w:t>uvádza svoje poznámky v priloženom uznesení;</w:t>
      </w:r>
    </w:p>
    <w:p w14:paraId="36150FB8" w14:textId="05087103" w:rsidR="00C1531C" w:rsidRPr="008B1699" w:rsidRDefault="00873C25" w:rsidP="00873C25">
      <w:pPr>
        <w:pStyle w:val="Normal12Hanging"/>
      </w:pPr>
      <w:r>
        <w:t>3.</w:t>
      </w:r>
      <w:r>
        <w:tab/>
        <w:t>poveruje svojho predsedu, aby postúpil toto rozhodnutie a uznesenie, ktoré je jeho neoddeliteľnou súčasťou, európskej ombudsmanke, Európskej rade, Rade, Komisii, Súdnemu dvoru Európskej únie, Dvoru audítorov, európskemu dozornému úradníkovi pre ochranu údajov a Európskej službe pre vonkajšiu činnosť a aby zabezpečil ich uverejnenie v </w:t>
      </w:r>
      <w:r>
        <w:rPr>
          <w:i/>
        </w:rPr>
        <w:t>Úradnom vestníku Európskej únie</w:t>
      </w:r>
      <w:r>
        <w:t xml:space="preserve"> (v sérii L).</w:t>
      </w:r>
    </w:p>
    <w:p w14:paraId="6108D857" w14:textId="77777777" w:rsidR="00C1531C" w:rsidRPr="008B1699" w:rsidRDefault="00C1531C" w:rsidP="004D13BA">
      <w:pPr>
        <w:pStyle w:val="PageHeading"/>
      </w:pPr>
      <w:r>
        <w:br w:type="page"/>
      </w:r>
      <w:bookmarkStart w:id="6" w:name="Resolution"/>
      <w:bookmarkStart w:id="7" w:name="_Toc3544500"/>
      <w:bookmarkEnd w:id="2"/>
      <w:bookmarkEnd w:id="3"/>
      <w:r>
        <w:lastRenderedPageBreak/>
        <w:t>2. NÁVRH UZNESENIA EURÓPSKEHO PARLAMENTU</w:t>
      </w:r>
      <w:bookmarkEnd w:id="7"/>
    </w:p>
    <w:p w14:paraId="2B605AEC" w14:textId="4B73F725" w:rsidR="00C1531C" w:rsidRPr="008B1699" w:rsidRDefault="00873C25">
      <w:pPr>
        <w:pStyle w:val="NormalBold"/>
      </w:pPr>
      <w:bookmarkStart w:id="8" w:name="ResolutionTitle"/>
      <w:bookmarkEnd w:id="6"/>
      <w:r>
        <w:t>s poznámkami, ktoré sú neoddeliteľnou súčasťou rozhodnutia o absolutóriu za plnenie všeobecného rozpočtu Európskej únie za rozpočtový rok 2017, oddiel VIII – Európsky ombudsman</w:t>
      </w:r>
    </w:p>
    <w:bookmarkEnd w:id="8"/>
    <w:p w14:paraId="2A8CD6FE" w14:textId="77777777" w:rsidR="00C1531C" w:rsidRPr="008B1699" w:rsidRDefault="00783064">
      <w:pPr>
        <w:pStyle w:val="Normal12Bold"/>
      </w:pPr>
      <w:r>
        <w:t>(2018/2174(DEC))</w:t>
      </w:r>
    </w:p>
    <w:p w14:paraId="78209E25" w14:textId="77777777" w:rsidR="00C1531C" w:rsidRPr="008B1699" w:rsidRDefault="00783064">
      <w:pPr>
        <w:pStyle w:val="Normal12"/>
      </w:pPr>
      <w:r>
        <w:rPr>
          <w:i/>
        </w:rPr>
        <w:t>Európsky parlament,</w:t>
      </w:r>
    </w:p>
    <w:p w14:paraId="5FA40779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svoje rozhodnutie o absolutóriu za plnenie všeobecného rozpočtu Európskej únie za rozpočtový rok 2017, oddiel VIII – Európsky ombudsman,</w:t>
      </w:r>
    </w:p>
    <w:p w14:paraId="32BF9EC6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článok 94 rokovacieho poriadku a prílohu IV k rokovaciemu poriadku,</w:t>
      </w:r>
    </w:p>
    <w:p w14:paraId="7C3AE865" w14:textId="77777777" w:rsidR="00873C25" w:rsidRPr="008E1838" w:rsidRDefault="00873C25" w:rsidP="00873C25">
      <w:pPr>
        <w:pStyle w:val="Normal12Hanging"/>
      </w:pPr>
      <w:r>
        <w:t>–</w:t>
      </w:r>
      <w:r>
        <w:tab/>
        <w:t>so zreteľom na správu Výboru pre kontrolu rozpočtu (A8-0099/2019),</w:t>
      </w:r>
    </w:p>
    <w:p w14:paraId="7AF25C0E" w14:textId="77777777" w:rsidR="00873C25" w:rsidRPr="008E1838" w:rsidRDefault="00873C25" w:rsidP="00873C25">
      <w:pPr>
        <w:pStyle w:val="Normal12Hanging"/>
      </w:pPr>
      <w:r>
        <w:t>A.</w:t>
      </w:r>
      <w:r>
        <w:tab/>
        <w:t>keďže v súvislosti s postupom udeľovania absolutória orgán udeľujúci absolutórium chce zdôrazniť osobitný význam ďalšieho posilňovania demokratickej legitímnosti inštitúcií Únie zlepšením transparentnosti a zodpovednosti, uplatňovaním koncepcie pre zostavovanie rozpočtu na základe výkonnosti a dobrým riadením ľudských zdrojov;</w:t>
      </w:r>
    </w:p>
    <w:p w14:paraId="3EC27E8C" w14:textId="77777777" w:rsidR="00873C25" w:rsidRPr="008E1838" w:rsidRDefault="00873C25" w:rsidP="00873C25">
      <w:pPr>
        <w:pStyle w:val="Normal12Hanging"/>
      </w:pPr>
      <w:r>
        <w:t>1.</w:t>
      </w:r>
      <w:r>
        <w:tab/>
        <w:t>s uspokojením konštatuje, že Dvor audítorov nezistil u európskej ombudsmanky (ďalej len „ombudsmanka“) žiadne podstatné nedostatky v súvislosti s kontrolovanými oblasťami týkajúcimi sa ľudských zdrojov a verejného obstarávania;</w:t>
      </w:r>
    </w:p>
    <w:p w14:paraId="467D8545" w14:textId="77777777" w:rsidR="00873C25" w:rsidRPr="008E1838" w:rsidRDefault="00873C25" w:rsidP="00873C25">
      <w:pPr>
        <w:pStyle w:val="Normal12Hanging"/>
      </w:pPr>
      <w:r>
        <w:t>2.</w:t>
      </w:r>
      <w:r>
        <w:tab/>
        <w:t>zdôrazňuje, že Dvor audítorov dospel na základe svojho auditu k záveru, že v platbách ako celku v súvislosti s administratívnymi výdavkami ombudsmanky za rok končiaci sa 31. decembrom 2017 sa nevyskytli významné chyby;</w:t>
      </w:r>
    </w:p>
    <w:p w14:paraId="586E7BAF" w14:textId="77777777" w:rsidR="00873C25" w:rsidRPr="008E1838" w:rsidRDefault="00873C25" w:rsidP="00873C25">
      <w:pPr>
        <w:pStyle w:val="Normal12Hanging"/>
      </w:pPr>
      <w:r>
        <w:t>3.</w:t>
      </w:r>
      <w:r>
        <w:tab/>
        <w:t xml:space="preserve">konštatuje, že rozpočet ombudsmanky je zväčša administratívny a jeho veľká časť pokrýva výdavky týkajúce sa osôb, budov, nábytku, zariadenia a rôznych prevádzkových nákladov; konštatuje, že v roku 2017 dosiahol 10 905 441 EUR (10 658 951 EUR v roku 2016); </w:t>
      </w:r>
    </w:p>
    <w:p w14:paraId="218BDDB0" w14:textId="77777777" w:rsidR="00873C25" w:rsidRPr="008E1838" w:rsidRDefault="00873C25" w:rsidP="00873C25">
      <w:pPr>
        <w:pStyle w:val="Normal12Hanging"/>
      </w:pPr>
      <w:r>
        <w:t>4.</w:t>
      </w:r>
      <w:r>
        <w:tab/>
        <w:t>víta záväzok ombudsmanky zabezpečiť, aby sa všetky dostupné prostriedky vynakladali spôsobom, ktorý je orientovaný na výsledky, a víta skutočnosť, že ombudsmanka zohľadňuje výsledky viacerých meraní a štatistických údajov, ktoré majú priamy vplyv na prácu úradu; konštatuje, že pokiaľ ide o kľúčové ukazovatele výkonnosti (KPI), ktoré boli prijaté ako súčasť stratégie „Smerom k roku 2019“, boli prijaté opatrenia na zlepšenie výsledkov prostredníctvom priebežných preskúmaní, zjednodušenia procesov a monitorovania práce; konštatuje však, že KPI pre celkový súlad dosiahol iba 85 % a nesplnil cieľ 90 %; nabáda ombudsmanku, aby v tejto súvislosti aj naďalej zlepšovala svoju výkonnosť;</w:t>
      </w:r>
    </w:p>
    <w:p w14:paraId="0DC47F1C" w14:textId="77777777" w:rsidR="00873C25" w:rsidRPr="008E1838" w:rsidRDefault="00873C25" w:rsidP="00873C25">
      <w:pPr>
        <w:pStyle w:val="Normal12Hanging"/>
      </w:pPr>
      <w:r>
        <w:t>5.</w:t>
      </w:r>
      <w:r>
        <w:tab/>
        <w:t xml:space="preserve">konštatuje, že z celkových rozpočtových prostriedkov bolo zaviazaných 93,91 % (v porovnaní s 95,40 % v roku 2016) a vyplatených 86,20 % (v porovnaní s 85,89 % v roku 2016) a miera plnenia dosiahla 93,9 % (v porovnaní s 95,40 % v roku 2016); </w:t>
      </w:r>
    </w:p>
    <w:p w14:paraId="464D044D" w14:textId="77777777" w:rsidR="00873C25" w:rsidRPr="008E1838" w:rsidRDefault="00873C25" w:rsidP="00873C25">
      <w:pPr>
        <w:pStyle w:val="Normal12Hanging"/>
      </w:pPr>
      <w:r>
        <w:t>6.</w:t>
      </w:r>
      <w:r>
        <w:tab/>
        <w:t>víta zámer ombudsmanky uverejniť svoju výročnú správu o činnosti do 31. marca 2019, aby sa optimalizoval a urýchlil postup udelenia absolutória;</w:t>
      </w:r>
    </w:p>
    <w:p w14:paraId="13AAE17B" w14:textId="77777777" w:rsidR="00873C25" w:rsidRPr="008E1838" w:rsidRDefault="00873C25" w:rsidP="00873C25">
      <w:pPr>
        <w:pStyle w:val="Normal12Hanging"/>
      </w:pPr>
      <w:r>
        <w:t>7.</w:t>
      </w:r>
      <w:r>
        <w:tab/>
        <w:t>poznamenáva, že zníženie miery plnenia v roku 2017 je vo veľkej miere výsledkom nedostatočného čerpania rozpočtového riadku pre európske školy; víta tieto nové rozpočtové prostriedky, ktoré sú určené na financovanie systému podpory využívania verejnej dopravy na rôzne pracoviská;</w:t>
      </w:r>
      <w:r>
        <w:tab/>
      </w:r>
    </w:p>
    <w:p w14:paraId="1D98E78E" w14:textId="77777777" w:rsidR="00873C25" w:rsidRPr="008E1838" w:rsidRDefault="00873C25" w:rsidP="00873C25">
      <w:pPr>
        <w:pStyle w:val="Normal12Hanging"/>
      </w:pPr>
      <w:r>
        <w:t>8.</w:t>
      </w:r>
      <w:r>
        <w:tab/>
        <w:t>pripomína, že posledná revízia štatútu ombudsmana bola vykonaná v roku 2008; poukazuje na to, že Parlament opakovane žiadal, aby sa tento štatút aktualizoval vzhľadom na nové skutočnosti a výzvy; zdôrazňuje najmä potrebu posilniť právomoci ombudsmana v prípadoch týkajúcich sa prístupu k dokumentom EÚ, nedodržiavania rozsudkov Súdneho dvora Európskej únie, ochrany oznamovateľov a obťažovania;</w:t>
      </w:r>
    </w:p>
    <w:p w14:paraId="0DF7EB16" w14:textId="77777777" w:rsidR="00873C25" w:rsidRPr="008E1838" w:rsidRDefault="00873C25" w:rsidP="00873C25">
      <w:pPr>
        <w:pStyle w:val="Normal12Hanging"/>
      </w:pPr>
      <w:r>
        <w:t>9.</w:t>
      </w:r>
      <w:r>
        <w:tab/>
        <w:t>zdôrazňuje úlohu ombudsmana v oblasti podpory dobrej správy vecí verejných, transparentnosti a predchádzania konfliktom záujmov v inštitúciách EÚ; víta skutočnosť, že v roku 2017 ombudsmanka uzavrela štyri strategické vyšetrovania, otvorila štyri nové vyšetrovania a začala osem strategických iniciatív; uznáva význam tejto práce pri podpore inštitúcií, orgánov, úradov a agentúr EÚ, aby boli v čo najväčšej miere otvorené, zodpovedné, etické a ústretové voči občanom;</w:t>
      </w:r>
    </w:p>
    <w:p w14:paraId="7B025CD1" w14:textId="77777777" w:rsidR="00873C25" w:rsidRPr="008E1838" w:rsidRDefault="00873C25" w:rsidP="00873C25">
      <w:pPr>
        <w:pStyle w:val="Normal12Hanging"/>
      </w:pPr>
      <w:r>
        <w:t>10.</w:t>
      </w:r>
      <w:r>
        <w:tab/>
        <w:t>víta súlad ombudsmanky s medziinštitucionálnou dohodou o znížení počtu zamestnancov o 5 % medzi rokmi 2013 a 2017 s celkovým príspevkom troch pracovných miest; konštatuje však, že počet zmluvných zamestnancov sa medzitým zvýšil z 8 na 15 a počet platených stážistov z 5 na 9; vyjadruje znepokojenie nad tým, že časť tohto zvýšenia je dôsledkom potreby kompenzovať celkové zníženie počtu zamestnancov a môže byť na úkor rozdelenia pracovného zaťaženia a dlhodobého organizačného rozvoja inštitúcie;</w:t>
      </w:r>
    </w:p>
    <w:p w14:paraId="24AFB61D" w14:textId="77777777" w:rsidR="00873C25" w:rsidRPr="008E1838" w:rsidRDefault="00873C25" w:rsidP="00873C25">
      <w:pPr>
        <w:pStyle w:val="Normal12Hanging"/>
      </w:pPr>
      <w:r>
        <w:t>11.</w:t>
      </w:r>
      <w:r>
        <w:tab/>
        <w:t xml:space="preserve">berie na vedomie zvýšenie počtu prijatých sťažností o 20 % z 1 839 v roku 2016 na 2 216 v roku 2017; konštatuje, že ombudsmanka začala celkovo 433 vyšetrovaní na základe sťažností (245 v roku 2016) a uzavrela 348 takýchto vyšetrovaní (291 v roku 2016); konštatuje, že toto zvýšenie je </w:t>
      </w:r>
      <w:r>
        <w:rPr>
          <w:i/>
        </w:rPr>
        <w:t>okrem iného</w:t>
      </w:r>
      <w:r>
        <w:t xml:space="preserve"> spôsobené novými vykonávacími ustanoveniami, podľa ktorých sa niekoľko prípadov, ktoré boli predtým klasifikované ako „žiadne dôvody na vyšetrovanie“, teraz uzatvára ako „vyšetrovania, v ktorých nebol zistený žiadny nesprávny úradný postup“; </w:t>
      </w:r>
    </w:p>
    <w:p w14:paraId="03EA3781" w14:textId="77777777" w:rsidR="00873C25" w:rsidRPr="008E1838" w:rsidRDefault="00873C25" w:rsidP="00873C25">
      <w:pPr>
        <w:pStyle w:val="Normal12Hanging"/>
      </w:pPr>
      <w:r>
        <w:t>12.</w:t>
      </w:r>
      <w:r>
        <w:tab/>
        <w:t>berie na vedomie, že v roku 2017 bol celkový počet nových riešených sťažností 2 181, z ktorých 751 bolo v rámci mandátu, pričom v roku 2016 to bolo 1 880 riešených sťažností, z ktorých 711 bolo v rámci mandátu; konštatuje preto, že počet sťažností v rámci mandátu sa zvýšil o 5,5 %;</w:t>
      </w:r>
    </w:p>
    <w:p w14:paraId="4B5FEF7C" w14:textId="77777777" w:rsidR="00873C25" w:rsidRPr="008E1838" w:rsidRDefault="00873C25" w:rsidP="00873C25">
      <w:pPr>
        <w:pStyle w:val="Normal12Hanging"/>
      </w:pPr>
      <w:r>
        <w:t>13.</w:t>
      </w:r>
      <w:r>
        <w:tab/>
        <w:t xml:space="preserve">víta skutočnosť, že priemerný čas na vybavenie sťažnosti sa znížil z 86 dní v roku 2013 na 64 dní v roku 2017; okrem toho víta skutočnosť, že priemerný čas na vybavovanie žiadostí sa znížil z 369 dní v roku 2013 na 266 dní v roku 2017; </w:t>
      </w:r>
    </w:p>
    <w:p w14:paraId="3A73348D" w14:textId="77777777" w:rsidR="00873C25" w:rsidRPr="008E1838" w:rsidRDefault="00873C25" w:rsidP="00873C25">
      <w:pPr>
        <w:pStyle w:val="Normal12Hanging"/>
      </w:pPr>
      <w:r>
        <w:t>14.</w:t>
      </w:r>
      <w:r>
        <w:tab/>
        <w:t>víta nepretržité úsilie ombudsmanky zamerané na zvýšenie účelnosti a účinnosti spracovania prípadov; v tejto súvislosti s uspokojením konštatuje, že všetky výsledky týkajúce sa kľúčového ukazovateľa výkonnosti pre „účinnosť“ (KPI 7) prekročili stanovené ciele; okrem toho víta zavedenie zrýchleného konania na riešenie sťažností týkajúcich sa prístupu k dokumentom;</w:t>
      </w:r>
    </w:p>
    <w:p w14:paraId="70B3CA27" w14:textId="77777777" w:rsidR="00873C25" w:rsidRPr="008E1838" w:rsidRDefault="00873C25" w:rsidP="00873C25">
      <w:pPr>
        <w:pStyle w:val="Normal12Hanging"/>
      </w:pPr>
      <w:r>
        <w:t>15.</w:t>
      </w:r>
      <w:r>
        <w:tab/>
        <w:t>víta nepretržité úsilie o zníženie nákladov na preklad, ktoré sú primárne spojené s tvorbou publikácií; víta skutočnosť, že výdavky na preklad sa znížili o 11 % z 293 000 EUR v roku 2016 na 263 000 EUR v roku 2017; berie na vedomie, že vo výročnej správe o činnosti ombudsmana sa uznáva, že bola dosiahnutá prahová hodnota, pod ktorú bude ťažké sa v budúcnosti dostať; nabáda preto ombudsmanku, aby v plnej miere upriamila pozornosť na úsilie o zníženie nákladov na preklad bez toho, aby to ohrozilo dobré fungovanie prekladov a publikácií;</w:t>
      </w:r>
    </w:p>
    <w:p w14:paraId="3C5F3E91" w14:textId="77777777" w:rsidR="00873C25" w:rsidRPr="008E1838" w:rsidRDefault="00873C25" w:rsidP="00873C25">
      <w:pPr>
        <w:pStyle w:val="Normal12Hanging"/>
      </w:pPr>
      <w:r>
        <w:t>16.</w:t>
      </w:r>
      <w:r>
        <w:tab/>
        <w:t xml:space="preserve">poznamenáva, že kancelárie ombudsmanky v Štrasburgu sa presunuli do nových priestorov v budove HAV; </w:t>
      </w:r>
    </w:p>
    <w:p w14:paraId="2CF01905" w14:textId="77777777" w:rsidR="00873C25" w:rsidRPr="008E1838" w:rsidRDefault="00873C25" w:rsidP="00873C25">
      <w:pPr>
        <w:pStyle w:val="Normal12Hanging"/>
      </w:pPr>
      <w:r>
        <w:t>17.</w:t>
      </w:r>
      <w:r>
        <w:tab/>
        <w:t>víta úspechy, ktoré dosiahla ombudsmanka v súvislosti s komunikačnými činnosťami zameranými na posilnenie viditeľnosti a mediálneho vplyvu, medzi ktoré patrí rozšírenie dosahu na sociálnych médiách prostredníctvom 22 790 správ na twitteri a nárast počtu sledovateľov o 16 %, čím bolo dosiahnuté číslo 19 200; víta skutočnosť, že ombudsmanka prepracovala svoje webové sídlo, aby bolo užívateľsky prístupnejšie, a že externý dodávateľ potvrdil súlad tohto webového sídla s usmerneniami pre prístupnosť obsahu webových stránok; okrem toho víta skutočnosť, že ombudsmanka v roku 2017 udelila prvú „Cenu za dobrú správu vecí verejných“, ktorá bola iniciovaná s cieľom uznať príklady osvedčených postupov vo verejnej správe a upriamiť na ne väčšiu pozornosť verejnosti;</w:t>
      </w:r>
    </w:p>
    <w:p w14:paraId="11FC8E37" w14:textId="77777777" w:rsidR="00873C25" w:rsidRPr="008E1838" w:rsidRDefault="00873C25" w:rsidP="00873C25">
      <w:pPr>
        <w:pStyle w:val="Normal12Hanging"/>
      </w:pPr>
      <w:r>
        <w:t>18.</w:t>
      </w:r>
      <w:r>
        <w:tab/>
        <w:t>víta strategické vyšetrovanie týkajúce sa prístupnosti webových stránok a online nástrojov Komisie; žiada, aby bol informovaný o výsledkoch vyšetrovania, a nabáda ombudsmanku, aby sa podelila o svoje konečné odporúčania s ďalšími orgánmi a inštitúciami EÚ;</w:t>
      </w:r>
    </w:p>
    <w:p w14:paraId="20E88CB4" w14:textId="77777777" w:rsidR="00873C25" w:rsidRPr="008E1838" w:rsidRDefault="00873C25" w:rsidP="00873C25">
      <w:pPr>
        <w:pStyle w:val="Normal12Hanging"/>
      </w:pPr>
      <w:r>
        <w:t>19.</w:t>
      </w:r>
      <w:r>
        <w:tab/>
        <w:t>víta skutočnosť, že boli vo väčšine ohľadov vykonané odporúčania Dvora audítorov zlepšiť monitorovací systém pre včasnú aktualizáciu osobnej situácie zamestnancov, čo môže mať vplyv na výpočet rodinných prídavkov;</w:t>
      </w:r>
    </w:p>
    <w:p w14:paraId="146A9C20" w14:textId="77777777" w:rsidR="00873C25" w:rsidRPr="008E1838" w:rsidRDefault="00873C25" w:rsidP="00873C25">
      <w:pPr>
        <w:pStyle w:val="Normal12Hanging"/>
      </w:pPr>
      <w:r>
        <w:t>20.</w:t>
      </w:r>
      <w:r>
        <w:tab/>
        <w:t>víta rodovú rovnováhu na úrovni riadenia, pričom 50 % zo stredných riadiacich pracovníkov sú ženy, a na úrovni administrátorov; nabáda ombudsmanku, aby tento trend zachovala; okrem toho víta prijatie politického rámca v oblasti ľudských zdrojov, ktorý rieši rodovú rovnováhu, nábor a integráciu osôb so zdravotným postihnutím a politiku rozmanitosti; berie na vedomie účasť ombudsmanky v pracovnej skupine Intercopec, ktorá sa zaoberá rodovou rovnováhou v rámci inštitúcií EÚ;</w:t>
      </w:r>
    </w:p>
    <w:p w14:paraId="58F43D15" w14:textId="77777777" w:rsidR="00873C25" w:rsidRPr="008E1838" w:rsidRDefault="00873C25" w:rsidP="00873C25">
      <w:pPr>
        <w:pStyle w:val="Normal12Hanging"/>
      </w:pPr>
      <w:r>
        <w:t>21.</w:t>
      </w:r>
      <w:r>
        <w:tab/>
        <w:t>opätovne zdôrazňuje, že ombudsmanka je nabádaná, aby sa usilovala o geografickú rovnováhu v riadiacich pozíciách v strednodobom až dlhodobom horizonte a aby medzi zamestnancami zabezpečila pomerné zastúpenie všetkých členských štátov;</w:t>
      </w:r>
    </w:p>
    <w:p w14:paraId="2CD83715" w14:textId="77777777" w:rsidR="00873C25" w:rsidRPr="008E1838" w:rsidRDefault="00873C25" w:rsidP="00873C25">
      <w:pPr>
        <w:pStyle w:val="Normal12Hanging"/>
      </w:pPr>
      <w:r>
        <w:t>22.</w:t>
      </w:r>
      <w:r>
        <w:tab/>
        <w:t xml:space="preserve">víta úsilie ombudsmanky o zlepšenie rovnováhy medzi pracovným a súkromným životom svojich zamestnancov; konštatuje, že od roku 2017 sa pružný pracovný čas stal štandardným pracovným režimom, ktorý sa vzťahuje na všetkých zamestnancov vrátane stážistov; ďalej konštatuje, že v roku 2017 využilo možnosť telepráce celkovo 58 z 83 aktívnych zamestnancov; nabáda ombudsmanku, aby sa naďalej usilovala o príkladnú a inovačnú úlohu vo všetkých personálnych otázkach vzhľadom na svoju úlohu v otázkach týkajúcich sa etiky a pracovných podmienok v rámci inštitúcií EÚ; </w:t>
      </w:r>
    </w:p>
    <w:p w14:paraId="7DC5DC0B" w14:textId="77777777" w:rsidR="00873C25" w:rsidRPr="008E1838" w:rsidRDefault="00873C25" w:rsidP="00873C25">
      <w:pPr>
        <w:pStyle w:val="Normal12Hanging"/>
      </w:pPr>
      <w:r>
        <w:t>23.</w:t>
      </w:r>
      <w:r>
        <w:tab/>
        <w:t>konštatuje, že v roku 2017 sa u ombudsmanky nevyskytli žiadne prípady obťažovania; víta prijatie politiky na prevenciu obťažovania a ochranu pred obťažovaním, ako aj plánovaného programu odbornej prípravy pre všetkých zamestnancov vrátane manažérov; okrem toho víta prijatie príručky o etike a dobrom správaní pre zamestnancov ombudsmanky, ako aj internej charty osvedčených postupov riadenia; nabáda ombudsmanku, aby dôsledne monitorovala efektívnosť svojej politiky, pokračovala vo zvyšovaní povedomia o obťažovaní na pracovisku a podporovala kultúru nulovej tolerancie voči obťažovaniu a žiada ombudsmanku, aby vo svojej ďalšej výročnej správe o činnosti podala správu orgánu udeľujúcemu absolutórium;</w:t>
      </w:r>
    </w:p>
    <w:p w14:paraId="2A9793C6" w14:textId="77777777" w:rsidR="00873C25" w:rsidRPr="008E1838" w:rsidRDefault="00873C25" w:rsidP="00873C25">
      <w:pPr>
        <w:pStyle w:val="Normal12Hanging"/>
      </w:pPr>
      <w:r>
        <w:t>24.</w:t>
      </w:r>
      <w:r>
        <w:tab/>
        <w:t>s uspokojením konštatuje, že problematika tzv. javu otáčavých dverí sa riešila na základe príručky o etike a dobrom správaní; vyzýva ombudsmanku, aby zabezpečila účinné uplatňovanie týchto usmernení, a žiada ombudsmanku, aby vo svojej ďalšej výročnej správe o činnosti podala správu orgánu udeľujúcemu absolutórium;</w:t>
      </w:r>
    </w:p>
    <w:p w14:paraId="140CDD7D" w14:textId="77777777" w:rsidR="00873C25" w:rsidRPr="008E1838" w:rsidRDefault="00873C25" w:rsidP="00873C25">
      <w:pPr>
        <w:pStyle w:val="Normal12Hanging"/>
      </w:pPr>
      <w:r>
        <w:t>25.</w:t>
      </w:r>
      <w:r>
        <w:tab/>
        <w:t>víta uzavretie sťažnosti európskeho dozorného úradníka pre ochranu údajov (EDPS), ktorá sa týka postupu nakladania s osobnými údajmi tretích strán v rámci sťažností a vyšetrovaní, a uznáva, že EDPS vyjadril spokojnosť s preskúmaním a vykonávaním príslušných odporúčaní;</w:t>
      </w:r>
    </w:p>
    <w:p w14:paraId="456D0F99" w14:textId="4C99AD9F" w:rsidR="007116BA" w:rsidRPr="007116BA" w:rsidRDefault="00873C25" w:rsidP="00873C25">
      <w:pPr>
        <w:pStyle w:val="Normal12Hanging"/>
      </w:pPr>
      <w:r>
        <w:t>26.</w:t>
      </w:r>
      <w:r>
        <w:tab/>
        <w:t>konštatuje, že v roku 2017 nedošlo k žiadnemu prípadu oznamovania protispoločenskej činnosti; poznamenáva, že odborná príprava týkajúca sa oznamovania protispoločenskej činnosti bola zorganizovaná pre všetkých zamestnancov; vyzýva ombudsmanku, aby zabezpečila, že všetci zamestnanci budú riadne informovaní o svojich právach, napríklad počas zaškolenia pri príchode nových zamestnancov; víta úvahy ombudsmanky o tom, či je z jej strany potrebná proaktívnejšia činnosť, pokiaľ ide o pravidlá a politiky týkajúce sa oznamovania protispoločenskej činnosti, ktoré sú v súčasnosti zavedené v inštitúciách, orgánoch a agentúrach EÚ; vyzýva ombudsmanku, aby naďalej išla príkladom.</w:t>
      </w:r>
    </w:p>
    <w:p w14:paraId="4317C96D" w14:textId="5A203C45" w:rsidR="007116BA" w:rsidRDefault="007116BA" w:rsidP="007116BA">
      <w:pPr>
        <w:pStyle w:val="PageHeading"/>
      </w:pPr>
      <w:r>
        <w:br w:type="page"/>
      </w:r>
      <w:bookmarkStart w:id="9" w:name="ProcPageRR"/>
      <w:bookmarkStart w:id="10" w:name="_Toc3544501"/>
      <w:r>
        <w:t>INFORMÁCIE O PRIJATÍ V GESTORSKOM VÝBORE</w:t>
      </w:r>
      <w:bookmarkEnd w:id="10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7116BA" w14:paraId="26CEEBA1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29735A4" w14:textId="77777777" w:rsidR="007116BA" w:rsidRDefault="007116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Dátum prijatia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DF17C49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20.2.2019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43A0711" w14:textId="77777777" w:rsidR="007116BA" w:rsidRDefault="007116B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12DDC09" w14:textId="77777777" w:rsidR="007116BA" w:rsidRDefault="007116B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5F1C56" w14:textId="77777777" w:rsidR="007116BA" w:rsidRDefault="007116B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7116BA" w14:paraId="02DEDAAB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B3257E7" w14:textId="77777777" w:rsidR="007116BA" w:rsidRDefault="007116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Výsledok záverečného hlasovania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5631FA6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14:paraId="46C1D7FB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14:paraId="15878643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B367629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  <w:p w14:paraId="435FB0C0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  <w:p w14:paraId="490C95E2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116BA" w14:paraId="64820BF9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778440" w14:textId="77777777" w:rsidR="007116BA" w:rsidRDefault="007116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Poslanci prítomní na záverečnom hlasovaní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195296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Nedzhmi Ali, Inés Ayala Sender, Zigmantas Balčytis, Dennis de Jong, Tamás Deutsch, Martina Dlabajová, Ingeborg Gräßle, Jean-François Jalkh, Wolf Klinz, Arndt Kohn, Monica Macovei, Georgi Pirinski, José Ignacio Salafranca Sánchez-Neyra, Petri Sarvamaa, Claudia Schmidt, Bart Staes, Marco Valli, Derek Vaughan, Tomáš Zdechovský</w:t>
            </w:r>
          </w:p>
        </w:tc>
      </w:tr>
      <w:tr w:rsidR="007116BA" w14:paraId="48707995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12343C" w14:textId="77777777" w:rsidR="007116BA" w:rsidRDefault="007116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Náhradníci prítomní na záverečnom hlasovaní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16AC767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Karin Kadenbach, Marian-Jean Marinescu</w:t>
            </w:r>
          </w:p>
        </w:tc>
      </w:tr>
      <w:tr w:rsidR="007116BA" w14:paraId="687A28B4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DF527B1" w14:textId="77777777" w:rsidR="007116BA" w:rsidRDefault="007116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Náhradníci (čl. 200 ods. 2) prítomní na záverečnom hlasovaní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006D9E" w14:textId="77777777" w:rsidR="007116BA" w:rsidRDefault="007116B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Petra Kammerevert</w:t>
            </w:r>
          </w:p>
        </w:tc>
      </w:tr>
    </w:tbl>
    <w:p w14:paraId="31786738" w14:textId="77777777" w:rsidR="007116BA" w:rsidRPr="00873C25" w:rsidRDefault="007116BA" w:rsidP="00873C25"/>
    <w:bookmarkEnd w:id="9"/>
    <w:p w14:paraId="7AC0A8B4" w14:textId="77777777" w:rsidR="00873C25" w:rsidRDefault="00873C25" w:rsidP="00873C25">
      <w:pPr>
        <w:sectPr w:rsidR="00873C25" w:rsidSect="00873C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567" w:footer="567" w:gutter="0"/>
          <w:cols w:space="720"/>
          <w:noEndnote/>
          <w:titlePg/>
        </w:sectPr>
      </w:pPr>
    </w:p>
    <w:p w14:paraId="5A8FE051" w14:textId="0D8BBC8A" w:rsidR="00873C25" w:rsidRPr="0099178F" w:rsidRDefault="00873C25" w:rsidP="00AD5932">
      <w:pPr>
        <w:pStyle w:val="PageHeading"/>
        <w:rPr>
          <w:szCs w:val="24"/>
        </w:rPr>
      </w:pPr>
      <w:bookmarkStart w:id="11" w:name="RollCallPageRR"/>
      <w:bookmarkStart w:id="12" w:name="_Toc3544502"/>
      <w:r>
        <w:t>ZÁVEREČNÉ HLASOVANIE PODĽA MIEN</w:t>
      </w:r>
      <w:r>
        <w:br/>
        <w:t>V GESTORSKOM VÝBORE</w:t>
      </w:r>
      <w:bookmarkEnd w:id="12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73C25" w:rsidRPr="008E1838" w14:paraId="0B6BA3B5" w14:textId="77777777" w:rsidTr="007E25B3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1D60758C" w14:textId="77777777" w:rsidR="00873C25" w:rsidRPr="008E1838" w:rsidRDefault="00873C25" w:rsidP="007E25B3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371" w:type="dxa"/>
            <w:shd w:val="pct10" w:color="000000" w:fill="FFFFFF"/>
          </w:tcPr>
          <w:p w14:paraId="188A4451" w14:textId="77777777" w:rsidR="00873C25" w:rsidRPr="008E1838" w:rsidRDefault="00873C25" w:rsidP="007E25B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873C25" w:rsidRPr="008E1838" w14:paraId="27DC1D3B" w14:textId="77777777" w:rsidTr="007E25B3">
        <w:trPr>
          <w:cantSplit/>
        </w:trPr>
        <w:tc>
          <w:tcPr>
            <w:tcW w:w="1701" w:type="dxa"/>
            <w:shd w:val="clear" w:color="auto" w:fill="FFFFFF"/>
          </w:tcPr>
          <w:p w14:paraId="3B7406C9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14:paraId="6D35110D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Nedzhmi Ali, Martina Dlabajová, Wolf Klinz</w:t>
            </w:r>
          </w:p>
        </w:tc>
      </w:tr>
      <w:tr w:rsidR="00873C25" w:rsidRPr="008E1838" w14:paraId="7A4D25D1" w14:textId="77777777" w:rsidTr="007E25B3">
        <w:trPr>
          <w:cantSplit/>
        </w:trPr>
        <w:tc>
          <w:tcPr>
            <w:tcW w:w="1701" w:type="dxa"/>
            <w:shd w:val="clear" w:color="auto" w:fill="FFFFFF"/>
          </w:tcPr>
          <w:p w14:paraId="425A1D80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14:paraId="162A92C4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Monica Macovei</w:t>
            </w:r>
          </w:p>
        </w:tc>
      </w:tr>
      <w:tr w:rsidR="00873C25" w:rsidRPr="008E1838" w14:paraId="55DEF3CF" w14:textId="77777777" w:rsidTr="007E25B3">
        <w:trPr>
          <w:cantSplit/>
        </w:trPr>
        <w:tc>
          <w:tcPr>
            <w:tcW w:w="1701" w:type="dxa"/>
            <w:shd w:val="clear" w:color="auto" w:fill="FFFFFF"/>
          </w:tcPr>
          <w:p w14:paraId="7CB0C11A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14:paraId="23ECFE27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Dennis de Jong</w:t>
            </w:r>
          </w:p>
        </w:tc>
      </w:tr>
      <w:tr w:rsidR="00873C25" w:rsidRPr="008E1838" w14:paraId="7E3E1848" w14:textId="77777777" w:rsidTr="007E25B3">
        <w:trPr>
          <w:cantSplit/>
        </w:trPr>
        <w:tc>
          <w:tcPr>
            <w:tcW w:w="1701" w:type="dxa"/>
            <w:shd w:val="clear" w:color="auto" w:fill="FFFFFF"/>
          </w:tcPr>
          <w:p w14:paraId="653C3DA4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53159691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Tamás Deutsch, Ingeborg Gräßle, Marian-Jean Marinescu, José Ignacio Salafranca Sánchez-Neyra, Petri Sarvamaa, Claudia Schmidt, Tomáš Zdechovský</w:t>
            </w:r>
          </w:p>
        </w:tc>
      </w:tr>
      <w:tr w:rsidR="00873C25" w:rsidRPr="008E1838" w14:paraId="3C9DB7AA" w14:textId="77777777" w:rsidTr="007E25B3">
        <w:trPr>
          <w:cantSplit/>
        </w:trPr>
        <w:tc>
          <w:tcPr>
            <w:tcW w:w="1701" w:type="dxa"/>
            <w:shd w:val="clear" w:color="auto" w:fill="FFFFFF"/>
          </w:tcPr>
          <w:p w14:paraId="2F3679AB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57E6642B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Inés Ayala Sender, Zigmantas Balčytis, Karin Kadenbach, Petra Kammerevert, Arndt Kohn, Georgi Pirinski, Derek Vaughan</w:t>
            </w:r>
          </w:p>
        </w:tc>
      </w:tr>
      <w:tr w:rsidR="00873C25" w:rsidRPr="008E1838" w14:paraId="4960BA66" w14:textId="77777777" w:rsidTr="007E25B3">
        <w:trPr>
          <w:cantSplit/>
        </w:trPr>
        <w:tc>
          <w:tcPr>
            <w:tcW w:w="1701" w:type="dxa"/>
            <w:shd w:val="clear" w:color="auto" w:fill="FFFFFF"/>
          </w:tcPr>
          <w:p w14:paraId="099BB9C5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36327935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Bart Staes</w:t>
            </w:r>
          </w:p>
        </w:tc>
      </w:tr>
    </w:tbl>
    <w:p w14:paraId="1EDBB439" w14:textId="77777777" w:rsidR="00873C25" w:rsidRPr="008E1838" w:rsidRDefault="00873C25" w:rsidP="00873C25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73C25" w:rsidRPr="008E1838" w14:paraId="4CDADA3F" w14:textId="77777777" w:rsidTr="007E25B3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6D9DA806" w14:textId="77777777" w:rsidR="00873C25" w:rsidRPr="008E1838" w:rsidRDefault="00873C25" w:rsidP="007E25B3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14:paraId="5443ECA8" w14:textId="77777777" w:rsidR="00873C25" w:rsidRPr="008E1838" w:rsidRDefault="00873C25" w:rsidP="007E25B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873C25" w:rsidRPr="008E1838" w14:paraId="55800138" w14:textId="77777777" w:rsidTr="007E25B3">
        <w:trPr>
          <w:cantSplit/>
        </w:trPr>
        <w:tc>
          <w:tcPr>
            <w:tcW w:w="1701" w:type="dxa"/>
            <w:shd w:val="clear" w:color="auto" w:fill="FFFFFF"/>
          </w:tcPr>
          <w:p w14:paraId="02F38E57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</w:p>
        </w:tc>
        <w:tc>
          <w:tcPr>
            <w:tcW w:w="7371" w:type="dxa"/>
            <w:shd w:val="clear" w:color="auto" w:fill="FFFFFF"/>
          </w:tcPr>
          <w:p w14:paraId="54A83EDA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</w:p>
        </w:tc>
      </w:tr>
    </w:tbl>
    <w:p w14:paraId="2ABBB1E3" w14:textId="77777777" w:rsidR="00873C25" w:rsidRPr="008E1838" w:rsidRDefault="00873C25" w:rsidP="00873C25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73C25" w:rsidRPr="008E1838" w14:paraId="4023E8F5" w14:textId="77777777" w:rsidTr="007E25B3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7DA4248F" w14:textId="77777777" w:rsidR="00873C25" w:rsidRPr="008E1838" w:rsidRDefault="00873C25" w:rsidP="007E25B3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71" w:type="dxa"/>
            <w:shd w:val="pct10" w:color="000000" w:fill="FFFFFF"/>
          </w:tcPr>
          <w:p w14:paraId="1D1B6CA6" w14:textId="77777777" w:rsidR="00873C25" w:rsidRPr="008E1838" w:rsidRDefault="00873C25" w:rsidP="007E25B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873C25" w:rsidRPr="008E1838" w14:paraId="0735CEA4" w14:textId="77777777" w:rsidTr="007E25B3">
        <w:trPr>
          <w:cantSplit/>
        </w:trPr>
        <w:tc>
          <w:tcPr>
            <w:tcW w:w="1701" w:type="dxa"/>
            <w:shd w:val="clear" w:color="auto" w:fill="FFFFFF"/>
          </w:tcPr>
          <w:p w14:paraId="3CACD1E0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14:paraId="4CFC542B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Marco Valli</w:t>
            </w:r>
          </w:p>
        </w:tc>
      </w:tr>
      <w:tr w:rsidR="00873C25" w:rsidRPr="008E1838" w14:paraId="664906AC" w14:textId="77777777" w:rsidTr="007E25B3">
        <w:trPr>
          <w:cantSplit/>
        </w:trPr>
        <w:tc>
          <w:tcPr>
            <w:tcW w:w="1701" w:type="dxa"/>
            <w:shd w:val="clear" w:color="auto" w:fill="FFFFFF"/>
          </w:tcPr>
          <w:p w14:paraId="364514F6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14:paraId="134201BA" w14:textId="77777777" w:rsidR="00873C25" w:rsidRPr="008E1838" w:rsidRDefault="00873C25" w:rsidP="007E25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Jean-François Jalkh</w:t>
            </w:r>
          </w:p>
        </w:tc>
      </w:tr>
    </w:tbl>
    <w:p w14:paraId="1A91E6FA" w14:textId="77777777" w:rsidR="00873C25" w:rsidRPr="008E1838" w:rsidRDefault="00873C25" w:rsidP="00873C25">
      <w:pPr>
        <w:pStyle w:val="Normal12"/>
      </w:pPr>
    </w:p>
    <w:p w14:paraId="39502572" w14:textId="3D63699C" w:rsidR="00873C25" w:rsidRDefault="00873C25" w:rsidP="00B735E3">
      <w:r>
        <w:t>Vysvetlenie použitých znakov:</w:t>
      </w:r>
    </w:p>
    <w:p w14:paraId="52B94E6B" w14:textId="478EC9B8" w:rsidR="00873C25" w:rsidRDefault="00873C25" w:rsidP="00B735E3">
      <w:pPr>
        <w:pStyle w:val="NormalTabs"/>
      </w:pPr>
      <w:r>
        <w:t>+</w:t>
      </w:r>
      <w:r>
        <w:tab/>
        <w:t>:</w:t>
      </w:r>
      <w:r>
        <w:tab/>
        <w:t>za</w:t>
      </w:r>
    </w:p>
    <w:p w14:paraId="2A024E11" w14:textId="06E3D4D5" w:rsidR="00873C25" w:rsidRDefault="00873C25" w:rsidP="00B735E3">
      <w:pPr>
        <w:pStyle w:val="NormalTabs"/>
      </w:pPr>
      <w:r>
        <w:t>-</w:t>
      </w:r>
      <w:r>
        <w:tab/>
        <w:t>:</w:t>
      </w:r>
      <w:r>
        <w:tab/>
        <w:t>proti</w:t>
      </w:r>
    </w:p>
    <w:p w14:paraId="3579AAEF" w14:textId="60ACEF34" w:rsidR="00873C25" w:rsidRDefault="00873C25" w:rsidP="00B735E3">
      <w:pPr>
        <w:pStyle w:val="NormalTabs"/>
      </w:pPr>
      <w:r>
        <w:t>0</w:t>
      </w:r>
      <w:r>
        <w:tab/>
        <w:t>:</w:t>
      </w:r>
      <w:r>
        <w:tab/>
        <w:t>zdržali sa hlasovania</w:t>
      </w:r>
    </w:p>
    <w:p w14:paraId="179F549D" w14:textId="77777777" w:rsidR="00873C25" w:rsidRDefault="00873C25" w:rsidP="00AD5932"/>
    <w:bookmarkEnd w:id="11"/>
    <w:p w14:paraId="113E5A05" w14:textId="6ADDF026" w:rsidR="00C57FBD" w:rsidRPr="00873C25" w:rsidRDefault="00C57FBD" w:rsidP="00873C25"/>
    <w:sectPr w:rsidR="00C57FBD" w:rsidRPr="00873C25" w:rsidSect="00873C25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88BB" w14:textId="77777777" w:rsidR="00783064" w:rsidRPr="008B1699" w:rsidRDefault="00783064">
      <w:r w:rsidRPr="008B1699">
        <w:separator/>
      </w:r>
    </w:p>
  </w:endnote>
  <w:endnote w:type="continuationSeparator" w:id="0">
    <w:p w14:paraId="667CD56B" w14:textId="77777777" w:rsidR="00783064" w:rsidRPr="008B1699" w:rsidRDefault="00783064">
      <w:r w:rsidRPr="008B16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E3FE" w14:textId="3EE74143" w:rsidR="007116BA" w:rsidRDefault="007116BA" w:rsidP="007116BA">
    <w:pPr>
      <w:pStyle w:val="Footer"/>
    </w:pPr>
    <w:r>
      <w:t>PE</w:t>
    </w:r>
    <w:r w:rsidRPr="007116BA">
      <w:rPr>
        <w:rStyle w:val="HideTWBExt"/>
      </w:rPr>
      <w:t>&lt;NoPE&gt;</w:t>
    </w:r>
    <w:r>
      <w:t>626.823</w:t>
    </w:r>
    <w:r w:rsidRPr="007116BA">
      <w:rPr>
        <w:rStyle w:val="HideTWBExt"/>
      </w:rPr>
      <w:t>&lt;/NoPE&gt;&lt;Version&gt;</w:t>
    </w:r>
    <w:r>
      <w:t>v02-00</w:t>
    </w:r>
    <w:r w:rsidRPr="007116BA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E2DFB">
      <w:rPr>
        <w:noProof/>
      </w:rPr>
      <w:t>2</w:t>
    </w:r>
    <w:r>
      <w:fldChar w:fldCharType="end"/>
    </w:r>
    <w:r>
      <w:t>/</w:t>
    </w:r>
    <w:r w:rsidR="0081241A">
      <w:rPr>
        <w:noProof/>
      </w:rPr>
      <w:fldChar w:fldCharType="begin"/>
    </w:r>
    <w:r w:rsidR="0081241A">
      <w:rPr>
        <w:noProof/>
      </w:rPr>
      <w:instrText xml:space="preserve"> NUMPAGES  \* MERGEFORMAT </w:instrText>
    </w:r>
    <w:r w:rsidR="0081241A">
      <w:rPr>
        <w:noProof/>
      </w:rPr>
      <w:fldChar w:fldCharType="separate"/>
    </w:r>
    <w:r w:rsidR="009E2DFB">
      <w:rPr>
        <w:noProof/>
      </w:rPr>
      <w:t>10</w:t>
    </w:r>
    <w:r w:rsidR="0081241A">
      <w:rPr>
        <w:noProof/>
      </w:rPr>
      <w:fldChar w:fldCharType="end"/>
    </w:r>
    <w:r>
      <w:tab/>
    </w:r>
    <w:r w:rsidRPr="007116BA">
      <w:rPr>
        <w:rStyle w:val="HideTWBExt"/>
      </w:rPr>
      <w:t>&lt;PathFdR&gt;</w:t>
    </w:r>
    <w:r>
      <w:t>RR\1178189SK.docx</w:t>
    </w:r>
    <w:r w:rsidRPr="007116BA">
      <w:rPr>
        <w:rStyle w:val="HideTWBExt"/>
      </w:rPr>
      <w:t>&lt;/PathFdR&gt;</w:t>
    </w:r>
  </w:p>
  <w:p w14:paraId="3171C40A" w14:textId="3AB9B7E8" w:rsidR="00F9137D" w:rsidRPr="008B1699" w:rsidRDefault="007116BA" w:rsidP="007116BA">
    <w:pPr>
      <w:pStyle w:val="Footer2"/>
    </w:pPr>
    <w:r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5FAA" w14:textId="0C5610AB" w:rsidR="007116BA" w:rsidRDefault="007116BA" w:rsidP="007116BA">
    <w:pPr>
      <w:pStyle w:val="Footer"/>
    </w:pPr>
    <w:r w:rsidRPr="007116BA">
      <w:rPr>
        <w:rStyle w:val="HideTWBExt"/>
      </w:rPr>
      <w:t>&lt;PathFdR&gt;</w:t>
    </w:r>
    <w:r>
      <w:t>RR\1178189SK.docx</w:t>
    </w:r>
    <w:r w:rsidRPr="007116BA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E2DFB">
      <w:rPr>
        <w:noProof/>
      </w:rPr>
      <w:t>9</w:t>
    </w:r>
    <w:r>
      <w:fldChar w:fldCharType="end"/>
    </w:r>
    <w:r>
      <w:t>/</w:t>
    </w:r>
    <w:r w:rsidR="0081241A">
      <w:rPr>
        <w:noProof/>
      </w:rPr>
      <w:fldChar w:fldCharType="begin"/>
    </w:r>
    <w:r w:rsidR="0081241A">
      <w:rPr>
        <w:noProof/>
      </w:rPr>
      <w:instrText xml:space="preserve"> NUMPAGES  \* MERGEFORMAT </w:instrText>
    </w:r>
    <w:r w:rsidR="0081241A">
      <w:rPr>
        <w:noProof/>
      </w:rPr>
      <w:fldChar w:fldCharType="separate"/>
    </w:r>
    <w:r w:rsidR="009E2DFB">
      <w:rPr>
        <w:noProof/>
      </w:rPr>
      <w:t>10</w:t>
    </w:r>
    <w:r w:rsidR="0081241A">
      <w:rPr>
        <w:noProof/>
      </w:rPr>
      <w:fldChar w:fldCharType="end"/>
    </w:r>
    <w:r>
      <w:tab/>
      <w:t>PE</w:t>
    </w:r>
    <w:r w:rsidRPr="007116BA">
      <w:rPr>
        <w:rStyle w:val="HideTWBExt"/>
      </w:rPr>
      <w:t>&lt;NoPE&gt;</w:t>
    </w:r>
    <w:r>
      <w:t>626.823</w:t>
    </w:r>
    <w:r w:rsidRPr="007116BA">
      <w:rPr>
        <w:rStyle w:val="HideTWBExt"/>
      </w:rPr>
      <w:t>&lt;/NoPE&gt;&lt;Version&gt;</w:t>
    </w:r>
    <w:r>
      <w:t>v02-00</w:t>
    </w:r>
    <w:r w:rsidRPr="007116BA">
      <w:rPr>
        <w:rStyle w:val="HideTWBExt"/>
      </w:rPr>
      <w:t>&lt;/Version&gt;</w:t>
    </w:r>
  </w:p>
  <w:p w14:paraId="721DC066" w14:textId="29EF75F2" w:rsidR="00F9137D" w:rsidRPr="008B1699" w:rsidRDefault="007116BA" w:rsidP="007116BA">
    <w:pPr>
      <w:pStyle w:val="Footer2"/>
    </w:pPr>
    <w:r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3219" w14:textId="77777777" w:rsidR="007116BA" w:rsidRDefault="007116BA" w:rsidP="007116BA">
    <w:pPr>
      <w:pStyle w:val="Footer"/>
    </w:pPr>
    <w:r w:rsidRPr="007116BA">
      <w:rPr>
        <w:rStyle w:val="HideTWBExt"/>
      </w:rPr>
      <w:t>&lt;PathFdR&gt;</w:t>
    </w:r>
    <w:r>
      <w:t>RR\1178189SK.docx</w:t>
    </w:r>
    <w:r w:rsidRPr="007116BA">
      <w:rPr>
        <w:rStyle w:val="HideTWBExt"/>
      </w:rPr>
      <w:t>&lt;/PathFdR&gt;</w:t>
    </w:r>
    <w:r>
      <w:tab/>
    </w:r>
    <w:r>
      <w:tab/>
      <w:t>PE</w:t>
    </w:r>
    <w:r w:rsidRPr="007116BA">
      <w:rPr>
        <w:rStyle w:val="HideTWBExt"/>
      </w:rPr>
      <w:t>&lt;NoPE&gt;</w:t>
    </w:r>
    <w:r>
      <w:t>626.823</w:t>
    </w:r>
    <w:r w:rsidRPr="007116BA">
      <w:rPr>
        <w:rStyle w:val="HideTWBExt"/>
      </w:rPr>
      <w:t>&lt;/NoPE&gt;&lt;Version&gt;</w:t>
    </w:r>
    <w:r>
      <w:t>v02-00</w:t>
    </w:r>
    <w:r w:rsidRPr="007116BA">
      <w:rPr>
        <w:rStyle w:val="HideTWBExt"/>
      </w:rPr>
      <w:t>&lt;/Version&gt;</w:t>
    </w:r>
  </w:p>
  <w:p w14:paraId="656AE356" w14:textId="2CA59D93" w:rsidR="00F9137D" w:rsidRPr="008B1699" w:rsidRDefault="007116BA" w:rsidP="007116BA">
    <w:pPr>
      <w:pStyle w:val="Footer2"/>
      <w:tabs>
        <w:tab w:val="center" w:pos="4535"/>
      </w:tabs>
    </w:pPr>
    <w:r>
      <w:t>SK</w:t>
    </w:r>
    <w:r>
      <w:tab/>
    </w:r>
    <w:r w:rsidRPr="007116BA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D0F1" w14:textId="77777777" w:rsidR="00283187" w:rsidRDefault="00873C25">
    <w:pPr>
      <w:pStyle w:val="Footer"/>
    </w:pPr>
    <w:bookmarkStart w:id="13" w:name="InsideFooter"/>
    <w:r>
      <w:rPr>
        <w:rStyle w:val="HideTWBExt"/>
      </w:rPr>
      <w:t>&lt;PathFdR&gt;</w:t>
    </w:r>
    <w:r>
      <w:t>[ZPATH]</w:t>
    </w:r>
    <w:r>
      <w:rPr>
        <w:rStyle w:val="HideTWBExt"/>
      </w:rPr>
      <w:t>&lt;/PathFdR&gt;</w:t>
    </w:r>
    <w:bookmarkEnd w:id="13"/>
    <w:r>
      <w:tab/>
    </w:r>
    <w:r>
      <w:tab/>
    </w:r>
    <w:bookmarkStart w:id="14" w:name="OutsideFooter"/>
    <w:r>
      <w:t>PE</w:t>
    </w:r>
    <w:r>
      <w:rPr>
        <w:rStyle w:val="HideTWBExt"/>
      </w:rPr>
      <w:t>&lt;NoPE&gt;</w:t>
    </w:r>
    <w:r>
      <w:t>[ZNRPE]</w:t>
    </w:r>
    <w:r>
      <w:rPr>
        <w:rStyle w:val="HideTWBExt"/>
      </w:rPr>
      <w:t>&lt;/NoPE&gt;&lt;Version&gt;</w:t>
    </w:r>
    <w:r>
      <w:t>[ZNRV]</w:t>
    </w:r>
    <w:r>
      <w:rPr>
        <w:rStyle w:val="HideTWBExt"/>
      </w:rPr>
      <w:t>&lt;/Version&gt;</w:t>
    </w:r>
    <w:bookmarkEnd w:id="14"/>
  </w:p>
  <w:p w14:paraId="33C59973" w14:textId="2BCE92DE" w:rsidR="00283187" w:rsidRDefault="0081241A" w:rsidP="00525B3A">
    <w:pPr>
      <w:pStyle w:val="Footer2"/>
      <w:tabs>
        <w:tab w:val="center" w:pos="4536"/>
      </w:tabs>
    </w:pPr>
    <w:fldSimple w:instr=" DOCPROPERTY &quot;&lt;Extension&gt;&quot; ">
      <w:r w:rsidR="009E2DFB">
        <w:t>SK</w:t>
      </w:r>
    </w:fldSimple>
    <w:r w:rsidR="00873C25" w:rsidRPr="00A44DDA">
      <w:rPr>
        <w:color w:val="C0C0C0"/>
      </w:rPr>
      <w:tab/>
    </w:r>
    <w:r w:rsidR="00873C25" w:rsidRPr="00A44DDA">
      <w:rPr>
        <w:b w:val="0"/>
        <w:i/>
        <w:color w:val="C0C0C0"/>
        <w:sz w:val="22"/>
        <w:szCs w:val="22"/>
      </w:rPr>
      <w:t>#(STD@_Motto#</w:t>
    </w:r>
    <w:r w:rsidR="00873C25" w:rsidRPr="00A44DDA">
      <w:rPr>
        <w:color w:val="C0C0C0"/>
      </w:rPr>
      <w:tab/>
    </w:r>
    <w:fldSimple w:instr=" DOCPROPERTY &quot;&lt;Extension&gt;&quot; ">
      <w:r w:rsidR="009E2DFB">
        <w:t>SK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EFB6" w14:textId="77777777" w:rsidR="00783064" w:rsidRPr="008B1699" w:rsidRDefault="00783064">
      <w:r w:rsidRPr="008B1699">
        <w:separator/>
      </w:r>
    </w:p>
  </w:footnote>
  <w:footnote w:type="continuationSeparator" w:id="0">
    <w:p w14:paraId="623658C1" w14:textId="77777777" w:rsidR="00783064" w:rsidRPr="008B1699" w:rsidRDefault="00783064">
      <w:r w:rsidRPr="008B1699">
        <w:continuationSeparator/>
      </w:r>
    </w:p>
  </w:footnote>
  <w:footnote w:id="1">
    <w:p w14:paraId="63828312" w14:textId="77777777" w:rsidR="00873C25" w:rsidRPr="009D7B78" w:rsidRDefault="00873C25" w:rsidP="00873C25">
      <w:pPr>
        <w:pStyle w:val="FootnoteText"/>
      </w:pPr>
      <w:r>
        <w:rPr>
          <w:rStyle w:val="FootnoteReference"/>
        </w:rPr>
        <w:footnoteRef/>
      </w:r>
      <w:r>
        <w:t xml:space="preserve"> Ú. v. EÚ L 51, 28.2.2017.</w:t>
      </w:r>
    </w:p>
  </w:footnote>
  <w:footnote w:id="2">
    <w:p w14:paraId="20EB2C4C" w14:textId="77777777" w:rsidR="00873C25" w:rsidRPr="009D7B78" w:rsidRDefault="00873C25" w:rsidP="00873C25">
      <w:pPr>
        <w:pStyle w:val="FootnoteText"/>
      </w:pPr>
      <w:r>
        <w:rPr>
          <w:rStyle w:val="FootnoteReference"/>
        </w:rPr>
        <w:footnoteRef/>
      </w:r>
      <w:r>
        <w:t xml:space="preserve"> Ú. v. EÚ C 348, 28.9.2018, s. 1.</w:t>
      </w:r>
    </w:p>
  </w:footnote>
  <w:footnote w:id="3">
    <w:p w14:paraId="790F2284" w14:textId="77777777" w:rsidR="00873C25" w:rsidRPr="009D7B78" w:rsidRDefault="00873C25" w:rsidP="00873C25">
      <w:pPr>
        <w:pStyle w:val="FootnoteText"/>
      </w:pPr>
      <w:r>
        <w:rPr>
          <w:rStyle w:val="FootnoteReference"/>
        </w:rPr>
        <w:footnoteRef/>
      </w:r>
      <w:r>
        <w:t xml:space="preserve"> Ú. v. EÚ C 357, 4.10.2018, s. 1.</w:t>
      </w:r>
    </w:p>
  </w:footnote>
  <w:footnote w:id="4">
    <w:p w14:paraId="54AC2A06" w14:textId="77777777" w:rsidR="00873C25" w:rsidRPr="009D7B78" w:rsidRDefault="00873C25" w:rsidP="00873C25">
      <w:pPr>
        <w:pStyle w:val="FootnoteText"/>
      </w:pPr>
      <w:r>
        <w:rPr>
          <w:rStyle w:val="FootnoteReference"/>
        </w:rPr>
        <w:footnoteRef/>
      </w:r>
      <w:r>
        <w:t xml:space="preserve"> Ú. v. EÚ C 357, 4.10.2018, s. 9.</w:t>
      </w:r>
    </w:p>
  </w:footnote>
  <w:footnote w:id="5">
    <w:p w14:paraId="6BD4FC9F" w14:textId="77777777" w:rsidR="00873C25" w:rsidRPr="009D7B78" w:rsidRDefault="00873C25" w:rsidP="00873C25">
      <w:pPr>
        <w:pStyle w:val="FootnoteText"/>
      </w:pPr>
      <w:r>
        <w:rPr>
          <w:rStyle w:val="FootnoteReference"/>
        </w:rPr>
        <w:footnoteRef/>
      </w:r>
      <w:r>
        <w:t xml:space="preserve"> Ú. v. ES L 298, 26.10.2012 s, 1.</w:t>
      </w:r>
    </w:p>
  </w:footnote>
  <w:footnote w:id="6">
    <w:p w14:paraId="64EC54CC" w14:textId="77777777" w:rsidR="00873C25" w:rsidRPr="009D7B78" w:rsidRDefault="00873C25" w:rsidP="00873C25">
      <w:pPr>
        <w:pStyle w:val="FootnoteText"/>
      </w:pPr>
      <w:r>
        <w:rPr>
          <w:rStyle w:val="FootnoteReference"/>
        </w:rPr>
        <w:footnoteRef/>
      </w:r>
      <w:r>
        <w:t xml:space="preserve"> Ú. v. EÚ L 193, 30.7.2018, s. 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53DA" w14:textId="77777777" w:rsidR="00873C25" w:rsidRDefault="00873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5B4E" w14:textId="77777777" w:rsidR="00873C25" w:rsidRDefault="00873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D207" w14:textId="77777777" w:rsidR="00873C25" w:rsidRDefault="00873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91318"/>
    <w:multiLevelType w:val="hybridMultilevel"/>
    <w:tmpl w:val="143224D2"/>
    <w:lvl w:ilvl="0" w:tplc="DDB4ED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4C00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0DE65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2A47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D058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9627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BAED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4CD4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74BF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2D6E49"/>
    <w:multiLevelType w:val="hybridMultilevel"/>
    <w:tmpl w:val="78B8CEFC"/>
    <w:lvl w:ilvl="0" w:tplc="5E460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4C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A3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C5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41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C2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2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9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25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DITSMNU" w:val=" 1"/>
    <w:docVar w:name="CITMNU" w:val=" 1"/>
    <w:docVar w:name="COMOPINMNU" w:val=" 1"/>
    <w:docVar w:name="CopyToNetwork" w:val="-1"/>
    <w:docVar w:name="DECISIONMNU" w:val=" 3"/>
    <w:docVar w:name="FN1DT" w:val="19/10/2018"/>
    <w:docVar w:name="FN2DT" w:val="19/10/2018"/>
    <w:docVar w:name="FN3DT" w:val="04/10/2018"/>
    <w:docVar w:name="FN4DT" w:val="04/10/2018"/>
    <w:docVar w:name="LastEditedSection" w:val=" 1"/>
    <w:docVar w:name="NRAUDITSMNU" w:val=" 2"/>
    <w:docVar w:name="strDocTypeID" w:val="PR_DEC_Other"/>
    <w:docVar w:name="strSubDir" w:val="1178"/>
    <w:docVar w:name="TITLEMNU" w:val=" 6"/>
    <w:docVar w:name="TXTBUDYEAR" w:val="2017"/>
    <w:docVar w:name="TXTCIT" w:val="tes"/>
    <w:docVar w:name="TXTFN1" w:val="000"/>
    <w:docVar w:name="TXTFN2" w:val="000"/>
    <w:docVar w:name="TXTFN3" w:val="357"/>
    <w:docVar w:name="TXTFN4" w:val="357"/>
    <w:docVar w:name="TXTLANGUE" w:val="SK"/>
    <w:docVar w:name="TXTLANGUEMIN" w:val="sk"/>
    <w:docVar w:name="TXTNRCACCOUNTS" w:val="0325/2018"/>
    <w:docVar w:name="TXTNRCOMACCOUNTS" w:val="(2018)0521"/>
    <w:docVar w:name="TXTNRDEC" w:val="2018/2174"/>
    <w:docVar w:name="TXTNRPE" w:val="626.823"/>
    <w:docVar w:name="TXTPEorAP" w:val="PE"/>
    <w:docVar w:name="TXTPG2" w:val="0"/>
    <w:docVar w:name="TXTPG3" w:val="1"/>
    <w:docVar w:name="TXTPG4" w:val="9"/>
    <w:docVar w:name="TXTROUTE" w:val="RR\1178189SK.docx"/>
    <w:docVar w:name="TXTVERSION" w:val="02-00"/>
  </w:docVars>
  <w:rsids>
    <w:rsidRoot w:val="00783064"/>
    <w:rsid w:val="00023BE8"/>
    <w:rsid w:val="00065488"/>
    <w:rsid w:val="00073BC2"/>
    <w:rsid w:val="00090E0B"/>
    <w:rsid w:val="00091455"/>
    <w:rsid w:val="000B321B"/>
    <w:rsid w:val="000B47E5"/>
    <w:rsid w:val="001007BC"/>
    <w:rsid w:val="001046CB"/>
    <w:rsid w:val="00112332"/>
    <w:rsid w:val="0012398B"/>
    <w:rsid w:val="0013079A"/>
    <w:rsid w:val="00132F6B"/>
    <w:rsid w:val="001B4494"/>
    <w:rsid w:val="001D308F"/>
    <w:rsid w:val="001F353F"/>
    <w:rsid w:val="00211D2B"/>
    <w:rsid w:val="00216504"/>
    <w:rsid w:val="0022149B"/>
    <w:rsid w:val="00232B1B"/>
    <w:rsid w:val="00275BFA"/>
    <w:rsid w:val="002B55B8"/>
    <w:rsid w:val="003B5094"/>
    <w:rsid w:val="003B78DF"/>
    <w:rsid w:val="003D3ECC"/>
    <w:rsid w:val="003F0E64"/>
    <w:rsid w:val="004050E6"/>
    <w:rsid w:val="004D13BA"/>
    <w:rsid w:val="00512C34"/>
    <w:rsid w:val="00536896"/>
    <w:rsid w:val="00540DB0"/>
    <w:rsid w:val="005678D3"/>
    <w:rsid w:val="00583685"/>
    <w:rsid w:val="005B2950"/>
    <w:rsid w:val="005F7B1E"/>
    <w:rsid w:val="0063324A"/>
    <w:rsid w:val="006A3D0F"/>
    <w:rsid w:val="006B0ED0"/>
    <w:rsid w:val="006C29E9"/>
    <w:rsid w:val="006D458A"/>
    <w:rsid w:val="006F3199"/>
    <w:rsid w:val="006F7B5A"/>
    <w:rsid w:val="007116BA"/>
    <w:rsid w:val="007707A8"/>
    <w:rsid w:val="00771BB9"/>
    <w:rsid w:val="00783064"/>
    <w:rsid w:val="00793D06"/>
    <w:rsid w:val="007C4C34"/>
    <w:rsid w:val="0081241A"/>
    <w:rsid w:val="00840EEC"/>
    <w:rsid w:val="00861FE2"/>
    <w:rsid w:val="00873C25"/>
    <w:rsid w:val="00895F7F"/>
    <w:rsid w:val="008A4C59"/>
    <w:rsid w:val="008A4DC4"/>
    <w:rsid w:val="008B1699"/>
    <w:rsid w:val="008F33CD"/>
    <w:rsid w:val="009070C7"/>
    <w:rsid w:val="00910F67"/>
    <w:rsid w:val="00913124"/>
    <w:rsid w:val="00946CEB"/>
    <w:rsid w:val="009473BA"/>
    <w:rsid w:val="009807D1"/>
    <w:rsid w:val="00983B63"/>
    <w:rsid w:val="00983D7C"/>
    <w:rsid w:val="00984295"/>
    <w:rsid w:val="009873C1"/>
    <w:rsid w:val="009900A8"/>
    <w:rsid w:val="009A6CA3"/>
    <w:rsid w:val="009E2DFB"/>
    <w:rsid w:val="00A174F9"/>
    <w:rsid w:val="00A2571B"/>
    <w:rsid w:val="00A66BCC"/>
    <w:rsid w:val="00A66C68"/>
    <w:rsid w:val="00AA1895"/>
    <w:rsid w:val="00AB4789"/>
    <w:rsid w:val="00AD4FD5"/>
    <w:rsid w:val="00B56838"/>
    <w:rsid w:val="00BD13C4"/>
    <w:rsid w:val="00BE0387"/>
    <w:rsid w:val="00BF04A7"/>
    <w:rsid w:val="00BF0771"/>
    <w:rsid w:val="00C04D50"/>
    <w:rsid w:val="00C1531C"/>
    <w:rsid w:val="00C40993"/>
    <w:rsid w:val="00C41BF0"/>
    <w:rsid w:val="00C56953"/>
    <w:rsid w:val="00C57FBD"/>
    <w:rsid w:val="00C607B5"/>
    <w:rsid w:val="00C63401"/>
    <w:rsid w:val="00C65EF7"/>
    <w:rsid w:val="00C8216F"/>
    <w:rsid w:val="00CA5B78"/>
    <w:rsid w:val="00CE299E"/>
    <w:rsid w:val="00D05CBA"/>
    <w:rsid w:val="00D3662E"/>
    <w:rsid w:val="00D56923"/>
    <w:rsid w:val="00D74CC3"/>
    <w:rsid w:val="00D94B43"/>
    <w:rsid w:val="00DC18B2"/>
    <w:rsid w:val="00DD61C4"/>
    <w:rsid w:val="00E2282B"/>
    <w:rsid w:val="00E34082"/>
    <w:rsid w:val="00E72B2A"/>
    <w:rsid w:val="00E80B81"/>
    <w:rsid w:val="00EA73D7"/>
    <w:rsid w:val="00ED2E3C"/>
    <w:rsid w:val="00EE165D"/>
    <w:rsid w:val="00EE1A5B"/>
    <w:rsid w:val="00EF513A"/>
    <w:rsid w:val="00F02D1B"/>
    <w:rsid w:val="00F152CB"/>
    <w:rsid w:val="00F21C7F"/>
    <w:rsid w:val="00F426AA"/>
    <w:rsid w:val="00F43F1E"/>
    <w:rsid w:val="00F9137D"/>
    <w:rsid w:val="00F9531F"/>
    <w:rsid w:val="00FC352C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D4A843"/>
  <w15:chartTrackingRefBased/>
  <w15:docId w15:val="{24A70A3D-DA4E-4067-89DF-681DD448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semiHidden/>
    <w:rsid w:val="00FD18F9"/>
    <w:pPr>
      <w:spacing w:after="0"/>
    </w:p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EPName">
    <w:name w:val="EPName"/>
    <w:basedOn w:val="Normal"/>
    <w:rsid w:val="003B5094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9473BA"/>
    <w:pPr>
      <w:tabs>
        <w:tab w:val="left" w:pos="567"/>
      </w:tabs>
    </w:pPr>
  </w:style>
  <w:style w:type="paragraph" w:customStyle="1" w:styleId="RefProc">
    <w:name w:val="RefProc"/>
    <w:basedOn w:val="Normal"/>
    <w:rsid w:val="006D458A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spacing w:before="480"/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EPTerm">
    <w:name w:val="EPTerm"/>
    <w:basedOn w:val="Normal"/>
    <w:next w:val="Normal"/>
    <w:rsid w:val="003B5094"/>
    <w:pPr>
      <w:spacing w:after="80"/>
    </w:pPr>
    <w:rPr>
      <w:rFonts w:ascii="Arial" w:hAnsi="Arial" w:cs="Arial"/>
      <w:sz w:val="20"/>
      <w:szCs w:val="22"/>
    </w:rPr>
  </w:style>
  <w:style w:type="paragraph" w:customStyle="1" w:styleId="Normal12a12bHanging">
    <w:name w:val="Normal12a12bHanging"/>
    <w:basedOn w:val="Normal12a12b"/>
    <w:rsid w:val="002B55B8"/>
    <w:pPr>
      <w:ind w:left="567" w:hanging="567"/>
    </w:pPr>
  </w:style>
  <w:style w:type="paragraph" w:customStyle="1" w:styleId="Normal24BoldCentre">
    <w:name w:val="Normal24BoldCentre"/>
    <w:basedOn w:val="Normal"/>
    <w:next w:val="Normal12Hanging"/>
    <w:pPr>
      <w:spacing w:after="480"/>
      <w:jc w:val="center"/>
    </w:pPr>
    <w:rPr>
      <w:b/>
      <w:noProof/>
    </w:rPr>
  </w:style>
  <w:style w:type="paragraph" w:styleId="TOC2">
    <w:name w:val="toc 2"/>
    <w:basedOn w:val="Normal"/>
    <w:next w:val="Normal"/>
    <w:semiHidden/>
    <w:pPr>
      <w:ind w:left="227"/>
    </w:pPr>
  </w:style>
  <w:style w:type="table" w:styleId="TableGrid">
    <w:name w:val="Table Grid"/>
    <w:basedOn w:val="TableNormal"/>
    <w:rsid w:val="00F9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39"/>
    <w:rsid w:val="00FD18F9"/>
    <w:pPr>
      <w:spacing w:after="240"/>
    </w:pPr>
  </w:style>
  <w:style w:type="paragraph" w:customStyle="1" w:styleId="ZCommittee">
    <w:name w:val="ZCommittee"/>
    <w:basedOn w:val="Normal"/>
    <w:next w:val="Normal"/>
    <w:rsid w:val="00F9137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F9137D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F9137D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Logo">
    <w:name w:val="EPLogo"/>
    <w:basedOn w:val="Normal"/>
    <w:qFormat/>
    <w:rsid w:val="003B5094"/>
    <w:pPr>
      <w:jc w:val="right"/>
    </w:pPr>
  </w:style>
  <w:style w:type="paragraph" w:styleId="FootnoteText">
    <w:name w:val="footnote text"/>
    <w:basedOn w:val="Normal"/>
    <w:link w:val="FootnoteTextChar"/>
    <w:rsid w:val="00C57F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57FBD"/>
  </w:style>
  <w:style w:type="character" w:styleId="FootnoteReference">
    <w:name w:val="footnote reference"/>
    <w:basedOn w:val="DefaultParagraphFont"/>
    <w:rsid w:val="00C57FBD"/>
    <w:rPr>
      <w:vertAlign w:val="superscript"/>
    </w:rPr>
  </w:style>
  <w:style w:type="paragraph" w:styleId="BalloonText">
    <w:name w:val="Balloon Text"/>
    <w:basedOn w:val="Normal"/>
    <w:link w:val="BalloonTextChar"/>
    <w:rsid w:val="007C4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4C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046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46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46CB"/>
  </w:style>
  <w:style w:type="paragraph" w:styleId="CommentSubject">
    <w:name w:val="annotation subject"/>
    <w:basedOn w:val="CommentText"/>
    <w:next w:val="CommentText"/>
    <w:link w:val="CommentSubjectChar"/>
    <w:rsid w:val="0010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46CB"/>
    <w:rPr>
      <w:b/>
      <w:bCs/>
    </w:rPr>
  </w:style>
  <w:style w:type="character" w:customStyle="1" w:styleId="Normal12HangingChar">
    <w:name w:val="Normal12Hanging Char"/>
    <w:link w:val="Normal12Hanging"/>
    <w:rsid w:val="00873C25"/>
    <w:rPr>
      <w:sz w:val="24"/>
    </w:rPr>
  </w:style>
  <w:style w:type="paragraph" w:customStyle="1" w:styleId="NormalTabs">
    <w:name w:val="NormalTabs"/>
    <w:basedOn w:val="Normal"/>
    <w:qFormat/>
    <w:rsid w:val="00873C25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guire\AppData\Local\Temp\PR_DEC_Oth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PR_DEC_Other</Template>
  <TotalTime>0</TotalTime>
  <Pages>10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PR_Dec_Other</vt:lpstr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PR_Dec_Other</dc:title>
  <dc:subject/>
  <dc:creator>MAGUIRE Marcia</dc:creator>
  <cp:keywords/>
  <dc:description/>
  <cp:lastModifiedBy>OCKOVIC Igor</cp:lastModifiedBy>
  <cp:revision>2</cp:revision>
  <cp:lastPrinted>2018-12-12T13:48:00Z</cp:lastPrinted>
  <dcterms:created xsi:type="dcterms:W3CDTF">2019-03-15T11:14:00Z</dcterms:created>
  <dcterms:modified xsi:type="dcterms:W3CDTF">2019-03-15T11:14:00Z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1178189</vt:lpwstr>
  </property>
  <property fmtid="{D5CDD505-2E9C-101B-9397-08002B2CF9AE}" pid="5" name="&lt;Type&gt;">
    <vt:lpwstr>RR</vt:lpwstr>
  </property>
  <property fmtid="{D5CDD505-2E9C-101B-9397-08002B2CF9AE}" pid="6" name="&lt;ModelCod&gt;">
    <vt:lpwstr>\\eiciBRUpr1\pdocep$\DocEP\DOCS\General\PR\PR_BUD\DEC\PR_DEC_Other.dot(27/09/2017 18:25:48)</vt:lpwstr>
  </property>
  <property fmtid="{D5CDD505-2E9C-101B-9397-08002B2CF9AE}" pid="7" name="&lt;ModelTra&gt;">
    <vt:lpwstr>\\eiciBRUpr1\pdocep$\DocEP\TRANSFIL\EN\PR_DEC_Other.EN(23/11/2017 16:03:45)</vt:lpwstr>
  </property>
  <property fmtid="{D5CDD505-2E9C-101B-9397-08002B2CF9AE}" pid="8" name="&lt;Model&gt;">
    <vt:lpwstr>PR_DEC_Other</vt:lpwstr>
  </property>
  <property fmtid="{D5CDD505-2E9C-101B-9397-08002B2CF9AE}" pid="9" name="FooterPath">
    <vt:lpwstr>RR\1178189SK.docx</vt:lpwstr>
  </property>
  <property fmtid="{D5CDD505-2E9C-101B-9397-08002B2CF9AE}" pid="10" name="PE number">
    <vt:lpwstr>626.823</vt:lpwstr>
  </property>
  <property fmtid="{D5CDD505-2E9C-101B-9397-08002B2CF9AE}" pid="11" name="SubscribeElise">
    <vt:lpwstr/>
  </property>
  <property fmtid="{D5CDD505-2E9C-101B-9397-08002B2CF9AE}" pid="12" name="SendToEpades">
    <vt:lpwstr>OK - 2018/12/13 11:40</vt:lpwstr>
  </property>
  <property fmtid="{D5CDD505-2E9C-101B-9397-08002B2CF9AE}" pid="13" name="Bookout">
    <vt:lpwstr>OK - 2019/03/15 12:14</vt:lpwstr>
  </property>
  <property fmtid="{D5CDD505-2E9C-101B-9397-08002B2CF9AE}" pid="14" name="SDLStudio">
    <vt:lpwstr/>
  </property>
  <property fmtid="{D5CDD505-2E9C-101B-9397-08002B2CF9AE}" pid="15" name="&lt;Extension&gt;">
    <vt:lpwstr>SK</vt:lpwstr>
  </property>
</Properties>
</file>